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B6E5" w14:textId="20B3AA07" w:rsidR="00903076" w:rsidRPr="00E021A3" w:rsidRDefault="00E021A3" w:rsidP="00903076">
      <w:pPr>
        <w:jc w:val="center"/>
        <w:rPr>
          <w:b/>
          <w:bCs/>
        </w:rPr>
      </w:pPr>
      <w:r w:rsidRPr="00E021A3">
        <w:rPr>
          <w:b/>
          <w:bCs/>
        </w:rPr>
        <w:t xml:space="preserve">Upper funnel ad effectiveness and seasonality in </w:t>
      </w:r>
      <w:r w:rsidR="00903076" w:rsidRPr="00E021A3">
        <w:rPr>
          <w:b/>
          <w:bCs/>
        </w:rPr>
        <w:t>consumer durable goods</w:t>
      </w:r>
    </w:p>
    <w:p w14:paraId="70DF66B3" w14:textId="77777777" w:rsidR="00903076" w:rsidRPr="00E021A3" w:rsidRDefault="00903076" w:rsidP="00903076"/>
    <w:p w14:paraId="6C42565F" w14:textId="47F877B7" w:rsidR="00E021A3" w:rsidRPr="00E021A3" w:rsidRDefault="00E021A3" w:rsidP="009D7D78">
      <w:pPr>
        <w:jc w:val="center"/>
      </w:pPr>
    </w:p>
    <w:p w14:paraId="22159567" w14:textId="5B789C92" w:rsidR="00E021A3" w:rsidRDefault="00E021A3" w:rsidP="00E021A3">
      <w:pPr>
        <w:jc w:val="center"/>
      </w:pPr>
      <w:r w:rsidRPr="00E021A3">
        <w:t xml:space="preserve">Vivian </w:t>
      </w:r>
      <w:r w:rsidR="00242531">
        <w:t xml:space="preserve">Qin, Koen Pauwels </w:t>
      </w:r>
    </w:p>
    <w:p w14:paraId="3D1B8167" w14:textId="6BB91CB7" w:rsidR="00AF3F05" w:rsidRPr="00E021A3" w:rsidRDefault="00AF3F05" w:rsidP="00E021A3">
      <w:pPr>
        <w:jc w:val="center"/>
      </w:pPr>
      <w:r>
        <w:t>Amazon Ads</w:t>
      </w:r>
    </w:p>
    <w:p w14:paraId="0BFAFC4A" w14:textId="36AD6D23" w:rsidR="00E021A3" w:rsidRPr="00E021A3" w:rsidRDefault="00E021A3"/>
    <w:p w14:paraId="4B7CEAC0" w14:textId="77777777" w:rsidR="00E021A3" w:rsidRPr="00E021A3" w:rsidRDefault="00E021A3" w:rsidP="00E021A3">
      <w:pPr>
        <w:jc w:val="center"/>
        <w:rPr>
          <w:b/>
          <w:i/>
        </w:rPr>
      </w:pPr>
    </w:p>
    <w:p w14:paraId="65E3B632" w14:textId="6BD19386" w:rsidR="00E021A3" w:rsidRPr="00E021A3" w:rsidRDefault="00E021A3" w:rsidP="00E021A3">
      <w:pPr>
        <w:jc w:val="center"/>
        <w:rPr>
          <w:b/>
        </w:rPr>
      </w:pPr>
      <w:r w:rsidRPr="00E021A3">
        <w:rPr>
          <w:b/>
        </w:rPr>
        <w:t>ABSTRACT</w:t>
      </w:r>
    </w:p>
    <w:p w14:paraId="62156314" w14:textId="77777777" w:rsidR="00E021A3" w:rsidRPr="00E021A3" w:rsidRDefault="00E021A3" w:rsidP="00E021A3">
      <w:pPr>
        <w:jc w:val="center"/>
        <w:rPr>
          <w:b/>
        </w:rPr>
      </w:pPr>
    </w:p>
    <w:p w14:paraId="2FFDF316" w14:textId="24991984" w:rsidR="00E021A3" w:rsidRDefault="00E021A3" w:rsidP="001C7F34">
      <w:pPr>
        <w:spacing w:line="360" w:lineRule="auto"/>
        <w:rPr>
          <w:rFonts w:eastAsia="Calibri"/>
          <w:b/>
          <w:color w:val="000000"/>
          <w:lang w:val="en-GB" w:eastAsia="en-GB"/>
        </w:rPr>
      </w:pPr>
      <w:r w:rsidRPr="00E021A3">
        <w:rPr>
          <w:bCs/>
        </w:rPr>
        <w:t xml:space="preserve">Brands usually invest in a portfolio of ad products for brand consideration and conversion. </w:t>
      </w:r>
      <w:r w:rsidR="00D20B3B">
        <w:rPr>
          <w:bCs/>
        </w:rPr>
        <w:t>To gauge performance, b</w:t>
      </w:r>
      <w:r w:rsidRPr="00E021A3">
        <w:rPr>
          <w:bCs/>
        </w:rPr>
        <w:t>rands often use ad attributed metrics to compare R</w:t>
      </w:r>
      <w:r w:rsidR="00FA7DD6">
        <w:rPr>
          <w:bCs/>
        </w:rPr>
        <w:t xml:space="preserve">eturn on Advertising </w:t>
      </w:r>
      <w:r w:rsidR="006A5C20">
        <w:rPr>
          <w:bCs/>
        </w:rPr>
        <w:t xml:space="preserve">Spend </w:t>
      </w:r>
      <w:r w:rsidR="00FA7DD6">
        <w:rPr>
          <w:bCs/>
        </w:rPr>
        <w:t>(ROAS)</w:t>
      </w:r>
      <w:r w:rsidRPr="00E021A3">
        <w:rPr>
          <w:bCs/>
        </w:rPr>
        <w:t xml:space="preserve"> </w:t>
      </w:r>
      <w:r w:rsidR="00D20B3B">
        <w:rPr>
          <w:bCs/>
        </w:rPr>
        <w:t>across</w:t>
      </w:r>
      <w:r w:rsidR="00FA7DD6">
        <w:rPr>
          <w:bCs/>
        </w:rPr>
        <w:t xml:space="preserve"> different ad</w:t>
      </w:r>
      <w:r w:rsidR="00D20B3B">
        <w:rPr>
          <w:bCs/>
        </w:rPr>
        <w:t xml:space="preserve"> channels</w:t>
      </w:r>
      <w:r w:rsidRPr="00E021A3">
        <w:rPr>
          <w:bCs/>
        </w:rPr>
        <w:t xml:space="preserve">. However, </w:t>
      </w:r>
      <w:r w:rsidR="00FA7DD6">
        <w:rPr>
          <w:bCs/>
        </w:rPr>
        <w:t>we see</w:t>
      </w:r>
      <w:r w:rsidRPr="00E021A3">
        <w:rPr>
          <w:bCs/>
        </w:rPr>
        <w:t xml:space="preserve"> two major shortcomings with this approach. First, it relies on the 14-day last-click attribution window</w:t>
      </w:r>
      <w:r w:rsidR="00903076">
        <w:rPr>
          <w:bCs/>
        </w:rPr>
        <w:t>. Though it</w:t>
      </w:r>
      <w:r w:rsidRPr="00E021A3">
        <w:rPr>
          <w:bCs/>
        </w:rPr>
        <w:t xml:space="preserve"> is common industry practice</w:t>
      </w:r>
      <w:r w:rsidR="00903076">
        <w:rPr>
          <w:bCs/>
        </w:rPr>
        <w:t>, the</w:t>
      </w:r>
      <w:r w:rsidR="00FA7DD6">
        <w:rPr>
          <w:bCs/>
        </w:rPr>
        <w:t xml:space="preserve"> resulting ROAS does </w:t>
      </w:r>
      <w:r w:rsidRPr="00E021A3">
        <w:rPr>
          <w:bCs/>
        </w:rPr>
        <w:t xml:space="preserve">not only favor </w:t>
      </w:r>
      <w:r w:rsidR="00FA7DD6">
        <w:rPr>
          <w:bCs/>
        </w:rPr>
        <w:t xml:space="preserve">lower funnel ads, such as </w:t>
      </w:r>
      <w:r w:rsidRPr="00E021A3">
        <w:rPr>
          <w:bCs/>
        </w:rPr>
        <w:t xml:space="preserve">paid search, but could change with different attribution models. Second, attributed performance metrics usually don’t consider seasonality, and organic consumer demand changes over the course of the year, which could bias the estimates of the effectiveness of ads. </w:t>
      </w:r>
      <w:r w:rsidR="00903076">
        <w:rPr>
          <w:bCs/>
        </w:rPr>
        <w:t xml:space="preserve">This could result in mistakenly attributing high organic demand to campaign performance. </w:t>
      </w:r>
      <w:r w:rsidR="00FA7DD6">
        <w:rPr>
          <w:bCs/>
        </w:rPr>
        <w:t xml:space="preserve">We address these issues with a </w:t>
      </w:r>
      <w:r w:rsidR="00D01E62" w:rsidRPr="00E021A3">
        <w:t xml:space="preserve">Seasonal Autoregressive Integrated Moving Average with X/Exogenous </w:t>
      </w:r>
      <w:r w:rsidR="00D01E62">
        <w:t>V</w:t>
      </w:r>
      <w:r w:rsidR="00D01E62" w:rsidRPr="00E021A3">
        <w:t>ariables</w:t>
      </w:r>
      <w:r w:rsidR="00D01E62" w:rsidDel="00D01E62">
        <w:rPr>
          <w:bCs/>
        </w:rPr>
        <w:t xml:space="preserve"> </w:t>
      </w:r>
      <w:r w:rsidR="00FA7DD6">
        <w:rPr>
          <w:bCs/>
        </w:rPr>
        <w:t xml:space="preserve">(SARIMAX) model, </w:t>
      </w:r>
      <w:r w:rsidRPr="00E021A3">
        <w:rPr>
          <w:bCs/>
        </w:rPr>
        <w:t>accounting for seasonality and brands’ past performance</w:t>
      </w:r>
      <w:r w:rsidR="00FA7DD6">
        <w:rPr>
          <w:bCs/>
        </w:rPr>
        <w:t>. Th</w:t>
      </w:r>
      <w:r w:rsidRPr="00E021A3">
        <w:rPr>
          <w:bCs/>
        </w:rPr>
        <w:t xml:space="preserve">is analysis compares ad efficacy on total retail metrics, regardless of attribution methods. </w:t>
      </w:r>
      <w:r w:rsidR="008D6678">
        <w:rPr>
          <w:bCs/>
        </w:rPr>
        <w:t xml:space="preserve">We apply this method to Amazon </w:t>
      </w:r>
      <w:r w:rsidR="00D20B3B">
        <w:rPr>
          <w:bCs/>
        </w:rPr>
        <w:t>Ads</w:t>
      </w:r>
      <w:r w:rsidR="008D6678">
        <w:rPr>
          <w:bCs/>
        </w:rPr>
        <w:t>, for</w:t>
      </w:r>
      <w:r w:rsidRPr="00E021A3">
        <w:rPr>
          <w:bCs/>
        </w:rPr>
        <w:t xml:space="preserve"> fifteen brands</w:t>
      </w:r>
      <w:r w:rsidR="008D6678">
        <w:rPr>
          <w:bCs/>
        </w:rPr>
        <w:t xml:space="preserve"> </w:t>
      </w:r>
      <w:r w:rsidRPr="00E021A3">
        <w:rPr>
          <w:bCs/>
        </w:rPr>
        <w:t xml:space="preserve">in U.S. </w:t>
      </w:r>
      <w:r w:rsidR="00FA7DD6">
        <w:rPr>
          <w:bCs/>
        </w:rPr>
        <w:t>consumer durables</w:t>
      </w:r>
      <w:r w:rsidR="008D6678">
        <w:rPr>
          <w:bCs/>
        </w:rPr>
        <w:t xml:space="preserve">. </w:t>
      </w:r>
      <w:r w:rsidR="00502480">
        <w:rPr>
          <w:bCs/>
        </w:rPr>
        <w:t>While the lower funnel ad product (Sponsored Products) sees a lot more current usage,</w:t>
      </w:r>
      <w:r w:rsidRPr="00E021A3">
        <w:rPr>
          <w:bCs/>
        </w:rPr>
        <w:t xml:space="preserve"> we find that </w:t>
      </w:r>
      <w:r w:rsidR="008D6678">
        <w:rPr>
          <w:bCs/>
        </w:rPr>
        <w:t>higher funnel</w:t>
      </w:r>
      <w:r w:rsidRPr="00E021A3">
        <w:rPr>
          <w:bCs/>
        </w:rPr>
        <w:t xml:space="preserve"> ad products such as Sponsored Brands</w:t>
      </w:r>
      <w:r w:rsidR="00A06F4F">
        <w:rPr>
          <w:bCs/>
        </w:rPr>
        <w:t xml:space="preserve">, </w:t>
      </w:r>
      <w:r w:rsidRPr="00E021A3">
        <w:rPr>
          <w:bCs/>
        </w:rPr>
        <w:t xml:space="preserve">DSP Display, and Streaming TV </w:t>
      </w:r>
      <w:r w:rsidR="00D20B3B">
        <w:rPr>
          <w:bCs/>
        </w:rPr>
        <w:t>Video</w:t>
      </w:r>
      <w:r w:rsidR="00D20B3B" w:rsidRPr="00E021A3">
        <w:rPr>
          <w:bCs/>
        </w:rPr>
        <w:t xml:space="preserve"> </w:t>
      </w:r>
      <w:r w:rsidRPr="00E021A3">
        <w:rPr>
          <w:bCs/>
        </w:rPr>
        <w:t>all have higher efficacy. We recommend brands evaluate their ad product performance at regular cadence to avoid under-utilizing high-performing ad products.  We also encourage future research to replicate this methodology in different verticals and locales for generalizability.</w:t>
      </w:r>
    </w:p>
    <w:p w14:paraId="36008F5C" w14:textId="2F8B7E3F" w:rsidR="008D6678" w:rsidRDefault="008D6678" w:rsidP="008D6678">
      <w:pPr>
        <w:rPr>
          <w:rFonts w:eastAsia="Calibri"/>
          <w:b/>
          <w:color w:val="000000"/>
          <w:lang w:val="en-GB" w:eastAsia="en-GB"/>
        </w:rPr>
      </w:pPr>
    </w:p>
    <w:p w14:paraId="15770677" w14:textId="0B410C09" w:rsidR="00764FF2" w:rsidRDefault="00764FF2" w:rsidP="008D6678">
      <w:pPr>
        <w:rPr>
          <w:rFonts w:eastAsia="Calibri"/>
          <w:bCs/>
          <w:color w:val="000000"/>
          <w:lang w:val="en-GB" w:eastAsia="en-GB"/>
        </w:rPr>
      </w:pPr>
      <w:r>
        <w:rPr>
          <w:rFonts w:eastAsia="Calibri"/>
          <w:b/>
          <w:color w:val="000000"/>
          <w:lang w:val="en-GB" w:eastAsia="en-GB"/>
        </w:rPr>
        <w:t xml:space="preserve">Keywords: </w:t>
      </w:r>
      <w:r>
        <w:rPr>
          <w:rFonts w:eastAsia="Calibri"/>
          <w:bCs/>
          <w:color w:val="000000"/>
          <w:lang w:val="en-GB" w:eastAsia="en-GB"/>
        </w:rPr>
        <w:t>digital advertising, marketing analytics, time series model, Amazon Ads, consumer durables, brands, ROAS</w:t>
      </w:r>
    </w:p>
    <w:p w14:paraId="32851CC3" w14:textId="3444E95C" w:rsidR="001C7F34" w:rsidRDefault="001C7F34">
      <w:pPr>
        <w:rPr>
          <w:bCs/>
        </w:rPr>
      </w:pPr>
      <w:r>
        <w:rPr>
          <w:bCs/>
        </w:rPr>
        <w:br w:type="page"/>
      </w:r>
    </w:p>
    <w:p w14:paraId="5630AB17" w14:textId="4FD4B649" w:rsidR="00764FF2" w:rsidRPr="00502480" w:rsidRDefault="00764FF2" w:rsidP="001C7F34">
      <w:pPr>
        <w:spacing w:line="480" w:lineRule="auto"/>
        <w:rPr>
          <w:b/>
        </w:rPr>
      </w:pPr>
      <w:r w:rsidRPr="00502480">
        <w:rPr>
          <w:b/>
        </w:rPr>
        <w:lastRenderedPageBreak/>
        <w:t>INTRODUCTION</w:t>
      </w:r>
    </w:p>
    <w:p w14:paraId="3C636D5B" w14:textId="4DBC5E15" w:rsidR="00E021A3" w:rsidRPr="00E021A3" w:rsidRDefault="00E021A3" w:rsidP="001C7F34">
      <w:pPr>
        <w:spacing w:line="480" w:lineRule="auto"/>
        <w:ind w:firstLine="720"/>
        <w:rPr>
          <w:bCs/>
        </w:rPr>
      </w:pPr>
      <w:r w:rsidRPr="00E021A3">
        <w:rPr>
          <w:bCs/>
        </w:rPr>
        <w:t xml:space="preserve">Brands typically reference </w:t>
      </w:r>
      <w:r w:rsidR="00502480">
        <w:rPr>
          <w:bCs/>
        </w:rPr>
        <w:t xml:space="preserve">Return on Advertising </w:t>
      </w:r>
      <w:r w:rsidR="006A5C20">
        <w:rPr>
          <w:bCs/>
        </w:rPr>
        <w:t xml:space="preserve">Spend </w:t>
      </w:r>
      <w:r w:rsidR="00502480">
        <w:rPr>
          <w:bCs/>
        </w:rPr>
        <w:t>(</w:t>
      </w:r>
      <w:r w:rsidRPr="00E021A3">
        <w:rPr>
          <w:bCs/>
        </w:rPr>
        <w:t>ROA</w:t>
      </w:r>
      <w:r w:rsidR="006A5C20">
        <w:rPr>
          <w:bCs/>
        </w:rPr>
        <w:t>S</w:t>
      </w:r>
      <w:r w:rsidR="00502480">
        <w:rPr>
          <w:bCs/>
        </w:rPr>
        <w:t>)</w:t>
      </w:r>
      <w:r w:rsidRPr="00E021A3">
        <w:rPr>
          <w:bCs/>
        </w:rPr>
        <w:t xml:space="preserve"> based on ad-attributed metrics to evaluate ad product’s effectiveness, and tend to do one advertising action at a time</w:t>
      </w:r>
      <w:r w:rsidR="00812FDC">
        <w:rPr>
          <w:bCs/>
        </w:rPr>
        <w:t xml:space="preserve"> (Olsson, 2022)</w:t>
      </w:r>
      <w:r w:rsidR="00E270F2" w:rsidRPr="00812FDC">
        <w:rPr>
          <w:bCs/>
          <w:vertAlign w:val="superscript"/>
        </w:rPr>
        <w:t>1</w:t>
      </w:r>
      <w:r w:rsidRPr="00E021A3">
        <w:rPr>
          <w:bCs/>
        </w:rPr>
        <w:t>. However, brands rarely invest in only one ad product, which calls for a holistic view of advertising performance rather than each ad channel evaluated in silo</w:t>
      </w:r>
      <w:r w:rsidR="00812FDC" w:rsidRPr="00812FDC">
        <w:rPr>
          <w:bCs/>
          <w:vertAlign w:val="superscript"/>
        </w:rPr>
        <w:t>2</w:t>
      </w:r>
      <w:r w:rsidR="00812FDC">
        <w:rPr>
          <w:bCs/>
        </w:rPr>
        <w:t xml:space="preserve">. </w:t>
      </w:r>
      <w:r w:rsidRPr="00E021A3">
        <w:rPr>
          <w:bCs/>
        </w:rPr>
        <w:t xml:space="preserve">Furthermore, many </w:t>
      </w:r>
      <w:r w:rsidR="00D20B3B">
        <w:rPr>
          <w:bCs/>
        </w:rPr>
        <w:t xml:space="preserve">consumer </w:t>
      </w:r>
      <w:r w:rsidRPr="00E021A3">
        <w:rPr>
          <w:bCs/>
        </w:rPr>
        <w:t>brands have demand seasonality</w:t>
      </w:r>
      <w:r w:rsidR="00E270F2">
        <w:rPr>
          <w:bCs/>
        </w:rPr>
        <w:t>. N</w:t>
      </w:r>
      <w:r w:rsidRPr="00E021A3">
        <w:rPr>
          <w:bCs/>
        </w:rPr>
        <w:t xml:space="preserve">ot accounting for it </w:t>
      </w:r>
      <w:r w:rsidR="00E270F2">
        <w:rPr>
          <w:bCs/>
        </w:rPr>
        <w:t xml:space="preserve">not only </w:t>
      </w:r>
      <w:r w:rsidRPr="00E021A3">
        <w:rPr>
          <w:bCs/>
        </w:rPr>
        <w:t>rende</w:t>
      </w:r>
      <w:r w:rsidR="00E270F2">
        <w:rPr>
          <w:bCs/>
        </w:rPr>
        <w:t>rs</w:t>
      </w:r>
      <w:r w:rsidRPr="00E021A3">
        <w:rPr>
          <w:bCs/>
        </w:rPr>
        <w:t xml:space="preserve"> performances at different points in time incomparable</w:t>
      </w:r>
      <w:r w:rsidR="00E270F2">
        <w:rPr>
          <w:bCs/>
        </w:rPr>
        <w:t xml:space="preserve">, but also likely erroneously attributes organic demand fluctuations to campaign effectiveness.  </w:t>
      </w:r>
      <w:r w:rsidR="00E270F2" w:rsidRPr="00E021A3">
        <w:rPr>
          <w:bCs/>
        </w:rPr>
        <w:t xml:space="preserve">  </w:t>
      </w:r>
    </w:p>
    <w:p w14:paraId="0716265A" w14:textId="1F0D308A" w:rsidR="00E021A3" w:rsidRPr="00E021A3" w:rsidRDefault="00197F62" w:rsidP="001C7F34">
      <w:pPr>
        <w:spacing w:line="480" w:lineRule="auto"/>
        <w:ind w:firstLine="720"/>
        <w:rPr>
          <w:lang w:eastAsia="en-GB"/>
        </w:rPr>
      </w:pPr>
      <w:r>
        <w:rPr>
          <w:lang w:eastAsia="en-GB"/>
        </w:rPr>
        <w:t>Based on specific advertiser requests to do so, t</w:t>
      </w:r>
      <w:r w:rsidR="00E021A3" w:rsidRPr="00E021A3">
        <w:rPr>
          <w:lang w:eastAsia="en-GB"/>
        </w:rPr>
        <w:t xml:space="preserve">his analysis </w:t>
      </w:r>
      <w:r>
        <w:rPr>
          <w:lang w:eastAsia="en-GB"/>
        </w:rPr>
        <w:t>leveraged</w:t>
      </w:r>
      <w:r w:rsidR="00E021A3" w:rsidRPr="00E021A3">
        <w:rPr>
          <w:lang w:eastAsia="en-GB"/>
        </w:rPr>
        <w:t xml:space="preserve"> data from </w:t>
      </w:r>
      <w:r w:rsidR="00E021A3" w:rsidRPr="00E021A3">
        <w:rPr>
          <w:bCs/>
        </w:rPr>
        <w:t>fifteen</w:t>
      </w:r>
      <w:r w:rsidR="00E021A3" w:rsidRPr="00E021A3">
        <w:rPr>
          <w:lang w:eastAsia="en-GB"/>
        </w:rPr>
        <w:t xml:space="preserve"> brands</w:t>
      </w:r>
      <w:r w:rsidR="00D20B3B">
        <w:rPr>
          <w:lang w:eastAsia="en-GB"/>
        </w:rPr>
        <w:t>’</w:t>
      </w:r>
      <w:r w:rsidR="00E021A3" w:rsidRPr="00E021A3">
        <w:rPr>
          <w:lang w:eastAsia="en-GB"/>
        </w:rPr>
        <w:t xml:space="preserve"> requests to compare ad </w:t>
      </w:r>
      <w:r>
        <w:rPr>
          <w:lang w:eastAsia="en-GB"/>
        </w:rPr>
        <w:t xml:space="preserve">product </w:t>
      </w:r>
      <w:r w:rsidR="00E021A3" w:rsidRPr="00E021A3">
        <w:rPr>
          <w:lang w:eastAsia="en-GB"/>
        </w:rPr>
        <w:t>effectiveness</w:t>
      </w:r>
      <w:r>
        <w:rPr>
          <w:lang w:eastAsia="en-GB"/>
        </w:rPr>
        <w:t xml:space="preserve"> on Amazon.com</w:t>
      </w:r>
      <w:r w:rsidR="00E021A3" w:rsidRPr="00E021A3">
        <w:rPr>
          <w:lang w:eastAsia="en-GB"/>
        </w:rPr>
        <w:t xml:space="preserve">. Data for each brand ranges from 1 year to 1.5 years at </w:t>
      </w:r>
      <w:r>
        <w:rPr>
          <w:lang w:eastAsia="en-GB"/>
        </w:rPr>
        <w:t xml:space="preserve">the </w:t>
      </w:r>
      <w:r w:rsidR="00E021A3" w:rsidRPr="00E021A3">
        <w:rPr>
          <w:lang w:eastAsia="en-GB"/>
        </w:rPr>
        <w:t xml:space="preserve">daily level from Jan 2021 to June 2022. All brands </w:t>
      </w:r>
      <w:r>
        <w:rPr>
          <w:lang w:eastAsia="en-GB"/>
        </w:rPr>
        <w:t xml:space="preserve">are in consumer durables (labeled ‘Hardlines’ by Amazon), and all </w:t>
      </w:r>
      <w:r w:rsidR="00E021A3" w:rsidRPr="00E021A3">
        <w:rPr>
          <w:lang w:eastAsia="en-GB"/>
        </w:rPr>
        <w:t>except one are from U.S. Hardlines’ four root browse nodes</w:t>
      </w:r>
      <w:r w:rsidR="00C6162B" w:rsidRPr="009D37E6">
        <w:rPr>
          <w:vertAlign w:val="superscript"/>
          <w:lang w:eastAsia="en-GB"/>
        </w:rPr>
        <w:t>3</w:t>
      </w:r>
      <w:r w:rsidR="00E021A3" w:rsidRPr="00E021A3">
        <w:rPr>
          <w:lang w:eastAsia="en-GB"/>
        </w:rPr>
        <w:t>: Electronics, Tools &amp; Home Improvement, Automotive, and Home and Kitchen</w:t>
      </w:r>
      <w:r>
        <w:rPr>
          <w:lang w:eastAsia="en-GB"/>
        </w:rPr>
        <w:t xml:space="preserve">. </w:t>
      </w:r>
      <w:r w:rsidR="001C7F34">
        <w:rPr>
          <w:lang w:eastAsia="en-GB"/>
        </w:rPr>
        <w:t xml:space="preserve">For each brand, we use </w:t>
      </w:r>
      <w:r w:rsidR="00E270F2">
        <w:rPr>
          <w:lang w:eastAsia="en-GB"/>
        </w:rPr>
        <w:t xml:space="preserve">daily </w:t>
      </w:r>
      <w:r w:rsidR="001C7F34">
        <w:rPr>
          <w:lang w:eastAsia="en-GB"/>
        </w:rPr>
        <w:t xml:space="preserve">data on Sponsored Products (SP), Sponsored Brands (SB), DSP Display and </w:t>
      </w:r>
      <w:r w:rsidR="00D20B3B">
        <w:rPr>
          <w:lang w:eastAsia="en-GB"/>
        </w:rPr>
        <w:t>Streaming</w:t>
      </w:r>
      <w:r w:rsidR="001C7F34">
        <w:rPr>
          <w:lang w:eastAsia="en-GB"/>
        </w:rPr>
        <w:t xml:space="preserve"> TV </w:t>
      </w:r>
      <w:r w:rsidR="00D20B3B">
        <w:rPr>
          <w:lang w:eastAsia="en-GB"/>
        </w:rPr>
        <w:t xml:space="preserve">Video </w:t>
      </w:r>
      <w:r w:rsidR="001C7F34">
        <w:rPr>
          <w:lang w:eastAsia="en-GB"/>
        </w:rPr>
        <w:t xml:space="preserve">(STV) spending and on-Amazon sales to </w:t>
      </w:r>
      <w:r w:rsidR="00D20B3B">
        <w:rPr>
          <w:lang w:eastAsia="en-GB"/>
        </w:rPr>
        <w:t>estimate</w:t>
      </w:r>
      <w:r w:rsidR="001C7F34">
        <w:rPr>
          <w:lang w:eastAsia="en-GB"/>
        </w:rPr>
        <w:t xml:space="preserve"> a</w:t>
      </w:r>
      <w:r>
        <w:rPr>
          <w:lang w:eastAsia="en-GB"/>
        </w:rPr>
        <w:t xml:space="preserve"> </w:t>
      </w:r>
      <w:r w:rsidR="00D01E62" w:rsidRPr="00E021A3">
        <w:t xml:space="preserve">Seasonal Autoregressive Integrated Moving Average with X/Exogenous </w:t>
      </w:r>
      <w:r w:rsidR="00E270F2">
        <w:rPr>
          <w:bCs/>
        </w:rPr>
        <w:t xml:space="preserve">Variables </w:t>
      </w:r>
      <w:r>
        <w:rPr>
          <w:bCs/>
        </w:rPr>
        <w:t xml:space="preserve">(SARIMAX) model, </w:t>
      </w:r>
      <w:r w:rsidRPr="00E021A3">
        <w:rPr>
          <w:bCs/>
        </w:rPr>
        <w:t>accounting for seasonality and brands’ past performance</w:t>
      </w:r>
      <w:r>
        <w:rPr>
          <w:bCs/>
        </w:rPr>
        <w:t>.</w:t>
      </w:r>
    </w:p>
    <w:p w14:paraId="19CFBF2E" w14:textId="60CC8584" w:rsidR="00E021A3" w:rsidRPr="00E021A3" w:rsidRDefault="00E021A3" w:rsidP="001C7F34">
      <w:pPr>
        <w:spacing w:line="480" w:lineRule="auto"/>
        <w:ind w:firstLine="720"/>
        <w:rPr>
          <w:lang w:eastAsia="en-GB"/>
        </w:rPr>
      </w:pPr>
      <w:r w:rsidRPr="00E021A3">
        <w:rPr>
          <w:lang w:eastAsia="en-GB"/>
        </w:rPr>
        <w:t xml:space="preserve">This analysis has three key findings. First, all brands have at least one ad product other than </w:t>
      </w:r>
      <w:r w:rsidR="00E270F2">
        <w:rPr>
          <w:lang w:eastAsia="en-GB"/>
        </w:rPr>
        <w:t>SP</w:t>
      </w:r>
      <w:r w:rsidRPr="00E021A3">
        <w:rPr>
          <w:lang w:eastAsia="en-GB"/>
        </w:rPr>
        <w:t xml:space="preserve"> that significantly improve</w:t>
      </w:r>
      <w:r w:rsidR="00631FE6">
        <w:rPr>
          <w:lang w:eastAsia="en-GB"/>
        </w:rPr>
        <w:t>s</w:t>
      </w:r>
      <w:r w:rsidRPr="00E021A3">
        <w:rPr>
          <w:lang w:eastAsia="en-GB"/>
        </w:rPr>
        <w:t xml:space="preserve"> performance metrics such as detailed page view or retail revenue. </w:t>
      </w:r>
      <w:r w:rsidR="00E270F2">
        <w:rPr>
          <w:lang w:eastAsia="en-GB"/>
        </w:rPr>
        <w:t xml:space="preserve">This is important to brand managers as besides SP, other ad products have low adoption rate, contrasting to their high performance uncovered in this analysis.  </w:t>
      </w:r>
      <w:r w:rsidRPr="00E021A3">
        <w:rPr>
          <w:lang w:eastAsia="en-GB"/>
        </w:rPr>
        <w:t xml:space="preserve">Second, while DSP Display and STV significantly increase sales in a model that accounts </w:t>
      </w:r>
      <w:r w:rsidR="00D20B3B">
        <w:rPr>
          <w:lang w:eastAsia="en-GB"/>
        </w:rPr>
        <w:t>for all invested channels</w:t>
      </w:r>
      <w:r w:rsidRPr="00E021A3">
        <w:rPr>
          <w:lang w:eastAsia="en-GB"/>
        </w:rPr>
        <w:t xml:space="preserve">, the indexed effectiveness is higher for SB and SD. Third, SB and STV effectiveness has smaller </w:t>
      </w:r>
      <w:r w:rsidRPr="00E021A3">
        <w:rPr>
          <w:lang w:eastAsia="en-GB"/>
        </w:rPr>
        <w:lastRenderedPageBreak/>
        <w:t>variances than SD and DSP Display, suggesting the latter two should be tested on a case-by-case basis.</w:t>
      </w:r>
    </w:p>
    <w:p w14:paraId="7FE1980A" w14:textId="6044F967" w:rsidR="001C7F34" w:rsidRDefault="00E021A3" w:rsidP="00D20DBB">
      <w:pPr>
        <w:spacing w:line="480" w:lineRule="auto"/>
        <w:ind w:firstLine="720"/>
        <w:rPr>
          <w:lang w:eastAsia="en-GB"/>
        </w:rPr>
      </w:pPr>
      <w:r w:rsidRPr="00E021A3">
        <w:rPr>
          <w:lang w:eastAsia="en-GB"/>
        </w:rPr>
        <w:t>Based on those findings, we recommend the followings. First, brands should adopt ad products beyond SP especially if they want to grow brand consideration, and better still, those ad products improve conversion as well. Relatedly, we encourage brands to be more open-minded for upper-funnel and middle-funnel ad products and adopt a test-and-learn approach for each brand. Second, we encourage brands to measure ad products’ effectiveness appropriately beyond last-click heuristic view</w:t>
      </w:r>
      <w:r w:rsidR="00E270F2">
        <w:rPr>
          <w:lang w:eastAsia="en-GB"/>
        </w:rPr>
        <w:t>, especially when</w:t>
      </w:r>
      <w:r w:rsidRPr="00E021A3">
        <w:rPr>
          <w:lang w:eastAsia="en-GB"/>
        </w:rPr>
        <w:t xml:space="preserve"> a holistic brand-level media planning is needed. Last but not least, for product categories with high seasonality, current methodology accounting for this not only informs brands’ marketing strategies but also enables more efficient ad impact estimates.  So, we suggest choosing methodology appropriately for</w:t>
      </w:r>
      <w:r w:rsidR="001C7F34">
        <w:rPr>
          <w:lang w:eastAsia="en-GB"/>
        </w:rPr>
        <w:t xml:space="preserve"> the brand’s specific</w:t>
      </w:r>
      <w:r w:rsidRPr="00E021A3">
        <w:rPr>
          <w:lang w:eastAsia="en-GB"/>
        </w:rPr>
        <w:t xml:space="preserve"> product category.  </w:t>
      </w:r>
    </w:p>
    <w:p w14:paraId="7272AC32" w14:textId="28AF2E20" w:rsidR="001C7F34" w:rsidRDefault="001C7F34" w:rsidP="001C7F34">
      <w:pPr>
        <w:spacing w:line="480" w:lineRule="auto"/>
        <w:rPr>
          <w:lang w:eastAsia="en-GB"/>
        </w:rPr>
      </w:pPr>
    </w:p>
    <w:p w14:paraId="40EF9316" w14:textId="0671B4E5" w:rsidR="001C7F34" w:rsidRDefault="0045175D" w:rsidP="001C4423">
      <w:pPr>
        <w:rPr>
          <w:b/>
          <w:bCs/>
          <w:lang w:eastAsia="en-GB"/>
        </w:rPr>
      </w:pPr>
      <w:r>
        <w:rPr>
          <w:b/>
          <w:bCs/>
          <w:lang w:eastAsia="en-GB"/>
        </w:rPr>
        <w:t xml:space="preserve">RESEARCH </w:t>
      </w:r>
      <w:r w:rsidR="001C7F34" w:rsidRPr="001C7F34">
        <w:rPr>
          <w:b/>
          <w:bCs/>
          <w:lang w:eastAsia="en-GB"/>
        </w:rPr>
        <w:t>METHODOLOGY</w:t>
      </w:r>
    </w:p>
    <w:p w14:paraId="533565F8" w14:textId="77777777" w:rsidR="001C4423" w:rsidRPr="001C7F34" w:rsidRDefault="001C4423" w:rsidP="009D37E6">
      <w:pPr>
        <w:rPr>
          <w:b/>
          <w:bCs/>
          <w:lang w:eastAsia="en-GB"/>
        </w:rPr>
      </w:pPr>
    </w:p>
    <w:p w14:paraId="488A4A37" w14:textId="5BB07A33" w:rsidR="00D23269" w:rsidRDefault="00D23269" w:rsidP="00D23269">
      <w:pPr>
        <w:spacing w:line="480" w:lineRule="auto"/>
      </w:pPr>
      <w:r>
        <w:t xml:space="preserve">Given our objectives, we have </w:t>
      </w:r>
      <w:r w:rsidR="00D20B3B">
        <w:t>four</w:t>
      </w:r>
      <w:r w:rsidR="00F177B7">
        <w:t xml:space="preserve"> </w:t>
      </w:r>
      <w:r>
        <w:t xml:space="preserve">specific requirements for the </w:t>
      </w:r>
      <w:r w:rsidR="0045175D">
        <w:t xml:space="preserve">research </w:t>
      </w:r>
      <w:r>
        <w:t>methodology.</w:t>
      </w:r>
    </w:p>
    <w:p w14:paraId="75B15084" w14:textId="3E26CE70" w:rsidR="00D20B3B" w:rsidRDefault="00D23269" w:rsidP="00F177B7">
      <w:pPr>
        <w:spacing w:line="480" w:lineRule="auto"/>
        <w:ind w:firstLine="720"/>
      </w:pPr>
      <w:r>
        <w:t xml:space="preserve">First, </w:t>
      </w:r>
      <w:r w:rsidR="00F177B7">
        <w:t>the method should explain brand performance by all relevant ad products at the same time, empirically estimating their impact instead of using heuristic attribution such as last click, first click, or equal importance.</w:t>
      </w:r>
    </w:p>
    <w:p w14:paraId="7586C66F" w14:textId="10B5534F" w:rsidR="00F177B7" w:rsidRPr="00E021A3" w:rsidRDefault="00F177B7" w:rsidP="00F077DA">
      <w:pPr>
        <w:spacing w:line="480" w:lineRule="auto"/>
        <w:ind w:firstLine="720"/>
      </w:pPr>
      <w:r w:rsidRPr="00F177B7">
        <w:t xml:space="preserve">Second, the method should </w:t>
      </w:r>
      <w:r>
        <w:t xml:space="preserve">provide insights for brand media planning </w:t>
      </w:r>
      <w:r w:rsidR="00D20B3B">
        <w:t xml:space="preserve">with </w:t>
      </w:r>
      <w:r>
        <w:t xml:space="preserve">budget allocation across ad products at the </w:t>
      </w:r>
      <w:r w:rsidR="00D20B3B">
        <w:t>strateg</w:t>
      </w:r>
      <w:r w:rsidR="001C4423">
        <w:t>ic</w:t>
      </w:r>
      <w:r w:rsidR="00D20B3B">
        <w:t xml:space="preserve"> </w:t>
      </w:r>
      <w:r>
        <w:t>level</w:t>
      </w:r>
      <w:r w:rsidR="00F077DA">
        <w:t>. It should not require tracking individual customers or building audiences</w:t>
      </w:r>
      <w:r>
        <w:t xml:space="preserve">, </w:t>
      </w:r>
      <w:r w:rsidR="004446DD">
        <w:t xml:space="preserve">which are part of </w:t>
      </w:r>
      <w:r>
        <w:t>more tactical campaign level</w:t>
      </w:r>
      <w:r w:rsidR="004446DD">
        <w:t xml:space="preserve"> optimization.</w:t>
      </w:r>
      <w:r w:rsidR="00D01E62">
        <w:t xml:space="preserve"> The current scope of analysis is brand media strategy by channel, not campaign by audience types. </w:t>
      </w:r>
    </w:p>
    <w:p w14:paraId="792DECF8" w14:textId="29C9E359" w:rsidR="00F177B7" w:rsidRDefault="00FC226D" w:rsidP="00F177B7">
      <w:pPr>
        <w:spacing w:line="480" w:lineRule="auto"/>
        <w:ind w:firstLine="720"/>
      </w:pPr>
      <w:r>
        <w:lastRenderedPageBreak/>
        <w:t>Third</w:t>
      </w:r>
      <w:r w:rsidR="00F177B7">
        <w:t xml:space="preserve">, </w:t>
      </w:r>
      <w:r w:rsidR="00D23269">
        <w:t>the method should go beyond relating performance to same-period ad spending. It is well known that current performance values are strongly driven by past values, and that failing to account for this may lead to spurious and over-estimated effects of KPI drivers</w:t>
      </w:r>
      <w:r w:rsidR="00415775">
        <w:rPr>
          <w:vertAlign w:val="superscript"/>
        </w:rPr>
        <w:t>4</w:t>
      </w:r>
      <w:r w:rsidR="00D23269">
        <w:t>. C</w:t>
      </w:r>
      <w:r w:rsidR="00D23269" w:rsidRPr="00E021A3">
        <w:t>ontrolling for brands’ past performance, the estimated impact is much less likely to be driven by past performance but more likely to be attributed to ad investment</w:t>
      </w:r>
      <w:r w:rsidR="00F177B7">
        <w:t>.</w:t>
      </w:r>
      <w:r w:rsidR="00D01E62">
        <w:t xml:space="preserve"> As a result, ad </w:t>
      </w:r>
      <w:r w:rsidR="0075127F">
        <w:t>efficacy</w:t>
      </w:r>
      <w:r w:rsidR="00D01E62">
        <w:t xml:space="preserve"> estimates</w:t>
      </w:r>
      <w:r w:rsidR="009D7D78">
        <w:t xml:space="preserve"> become more precise</w:t>
      </w:r>
      <w:r w:rsidR="00D01E62">
        <w:t xml:space="preserve">. </w:t>
      </w:r>
    </w:p>
    <w:p w14:paraId="7AFFCBF5" w14:textId="0BFFA362" w:rsidR="00D23269" w:rsidRDefault="00F177B7" w:rsidP="00F177B7">
      <w:pPr>
        <w:spacing w:line="480" w:lineRule="auto"/>
        <w:ind w:firstLine="720"/>
      </w:pPr>
      <w:r>
        <w:t xml:space="preserve">Fourth and finally, the method should </w:t>
      </w:r>
      <w:r w:rsidR="00D23269" w:rsidRPr="00E021A3">
        <w:t xml:space="preserve">identify and control for both time-related (i.e., seasonality) and random fluctuations (i.e., </w:t>
      </w:r>
      <w:r>
        <w:t>n</w:t>
      </w:r>
      <w:r w:rsidR="00D23269" w:rsidRPr="00E021A3">
        <w:t>oise), to provide more efficient estimates and enable right-sizing the impact of ad investment.</w:t>
      </w:r>
    </w:p>
    <w:p w14:paraId="15C31949" w14:textId="43C9407E" w:rsidR="00FC226D" w:rsidRPr="004446DD" w:rsidRDefault="00F177B7" w:rsidP="00FC226D">
      <w:pPr>
        <w:spacing w:line="480" w:lineRule="auto"/>
        <w:ind w:firstLine="720"/>
      </w:pPr>
      <w:r>
        <w:t xml:space="preserve">Based on these requirements, we propose the </w:t>
      </w:r>
      <w:r w:rsidR="001C7F34" w:rsidRPr="00E021A3">
        <w:t>SARIMAX (Seasonal Autoregressive Integrated Moving Average with X/Exogenous variables) model</w:t>
      </w:r>
      <w:r w:rsidR="00FC226D">
        <w:t>. D</w:t>
      </w:r>
      <w:r w:rsidR="001C7F34" w:rsidRPr="00E021A3">
        <w:t>esigned specifically for time series data</w:t>
      </w:r>
      <w:r w:rsidR="00FC226D">
        <w:t>, the SARIMAX</w:t>
      </w:r>
      <w:r w:rsidR="0075127F">
        <w:t xml:space="preserve"> will</w:t>
      </w:r>
    </w:p>
    <w:p w14:paraId="22E6F6B6" w14:textId="787BB920" w:rsidR="00FC226D" w:rsidRPr="004446DD" w:rsidRDefault="00FC226D" w:rsidP="00FC226D">
      <w:pPr>
        <w:pStyle w:val="ListParagraph"/>
        <w:numPr>
          <w:ilvl w:val="0"/>
          <w:numId w:val="5"/>
        </w:numPr>
        <w:spacing w:line="480" w:lineRule="auto"/>
        <w:rPr>
          <w:rFonts w:ascii="Times New Roman" w:hAnsi="Times New Roman" w:cs="Times New Roman"/>
          <w:sz w:val="24"/>
          <w:szCs w:val="24"/>
        </w:rPr>
      </w:pPr>
      <w:r w:rsidRPr="004446DD">
        <w:rPr>
          <w:rFonts w:ascii="Times New Roman" w:hAnsi="Times New Roman" w:cs="Times New Roman"/>
          <w:sz w:val="24"/>
          <w:szCs w:val="24"/>
        </w:rPr>
        <w:t>explicitly models Seasonality (S);</w:t>
      </w:r>
    </w:p>
    <w:p w14:paraId="6C179188" w14:textId="6F6AFAF5" w:rsidR="00FC226D" w:rsidRDefault="00FC226D" w:rsidP="00FC226D">
      <w:pPr>
        <w:pStyle w:val="ListParagraph"/>
        <w:numPr>
          <w:ilvl w:val="0"/>
          <w:numId w:val="5"/>
        </w:numPr>
        <w:spacing w:line="480" w:lineRule="auto"/>
        <w:rPr>
          <w:rFonts w:ascii="Times New Roman" w:hAnsi="Times New Roman" w:cs="Times New Roman"/>
          <w:sz w:val="24"/>
          <w:szCs w:val="24"/>
        </w:rPr>
      </w:pPr>
      <w:r w:rsidRPr="004446DD">
        <w:rPr>
          <w:rFonts w:ascii="Times New Roman" w:hAnsi="Times New Roman" w:cs="Times New Roman"/>
          <w:sz w:val="24"/>
          <w:szCs w:val="24"/>
        </w:rPr>
        <w:t>explicitly accounts for past performance in its Autoregressive (AR) component;</w:t>
      </w:r>
    </w:p>
    <w:p w14:paraId="762A6C6E" w14:textId="48930F43" w:rsidR="0075127F" w:rsidRPr="004446DD" w:rsidRDefault="0075127F" w:rsidP="00FC226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empirically tests if dependent variables are </w:t>
      </w:r>
      <w:r w:rsidR="009D7D78">
        <w:rPr>
          <w:rFonts w:ascii="Times New Roman" w:hAnsi="Times New Roman" w:cs="Times New Roman"/>
          <w:sz w:val="24"/>
          <w:szCs w:val="24"/>
        </w:rPr>
        <w:t>non-</w:t>
      </w:r>
      <w:r>
        <w:rPr>
          <w:rFonts w:ascii="Times New Roman" w:hAnsi="Times New Roman" w:cs="Times New Roman"/>
          <w:sz w:val="24"/>
          <w:szCs w:val="24"/>
        </w:rPr>
        <w:t xml:space="preserve">stationary, i.e., integrated (I); </w:t>
      </w:r>
    </w:p>
    <w:p w14:paraId="5F5E3969" w14:textId="77777777" w:rsidR="00FC226D" w:rsidRPr="004446DD" w:rsidRDefault="00FC226D" w:rsidP="00FC226D">
      <w:pPr>
        <w:pStyle w:val="ListParagraph"/>
        <w:numPr>
          <w:ilvl w:val="0"/>
          <w:numId w:val="5"/>
        </w:numPr>
        <w:spacing w:line="480" w:lineRule="auto"/>
        <w:rPr>
          <w:rFonts w:ascii="Times New Roman" w:hAnsi="Times New Roman" w:cs="Times New Roman"/>
          <w:sz w:val="24"/>
          <w:szCs w:val="24"/>
        </w:rPr>
      </w:pPr>
      <w:r w:rsidRPr="004446DD">
        <w:rPr>
          <w:rFonts w:ascii="Times New Roman" w:hAnsi="Times New Roman" w:cs="Times New Roman"/>
          <w:sz w:val="24"/>
          <w:szCs w:val="24"/>
        </w:rPr>
        <w:t>uncovers patterns from noise in the Moving Average (MA) component;</w:t>
      </w:r>
    </w:p>
    <w:p w14:paraId="56DDBAF3" w14:textId="1ABC07D4" w:rsidR="00FC226D" w:rsidRDefault="00FC226D" w:rsidP="009D7D78">
      <w:pPr>
        <w:pStyle w:val="ListParagraph"/>
        <w:numPr>
          <w:ilvl w:val="0"/>
          <w:numId w:val="5"/>
        </w:numPr>
        <w:spacing w:line="480" w:lineRule="auto"/>
      </w:pPr>
      <w:r w:rsidRPr="004446DD">
        <w:rPr>
          <w:rFonts w:ascii="Times New Roman" w:hAnsi="Times New Roman" w:cs="Times New Roman"/>
          <w:sz w:val="24"/>
          <w:szCs w:val="24"/>
        </w:rPr>
        <w:t xml:space="preserve">efficiently estimates the effect of each ad products in the </w:t>
      </w:r>
      <w:r w:rsidR="0075127F">
        <w:rPr>
          <w:rFonts w:ascii="Times New Roman" w:hAnsi="Times New Roman" w:cs="Times New Roman"/>
          <w:sz w:val="24"/>
          <w:szCs w:val="24"/>
        </w:rPr>
        <w:t>(</w:t>
      </w:r>
      <w:r w:rsidRPr="004446DD">
        <w:rPr>
          <w:rFonts w:ascii="Times New Roman" w:hAnsi="Times New Roman" w:cs="Times New Roman"/>
          <w:sz w:val="24"/>
          <w:szCs w:val="24"/>
        </w:rPr>
        <w:t>X</w:t>
      </w:r>
      <w:r w:rsidR="0075127F">
        <w:rPr>
          <w:rFonts w:ascii="Times New Roman" w:hAnsi="Times New Roman" w:cs="Times New Roman"/>
          <w:sz w:val="24"/>
          <w:szCs w:val="24"/>
        </w:rPr>
        <w:t>)</w:t>
      </w:r>
      <w:r w:rsidRPr="004446DD">
        <w:rPr>
          <w:rFonts w:ascii="Times New Roman" w:hAnsi="Times New Roman" w:cs="Times New Roman"/>
          <w:sz w:val="24"/>
          <w:szCs w:val="24"/>
        </w:rPr>
        <w:t xml:space="preserve"> component.</w:t>
      </w:r>
    </w:p>
    <w:p w14:paraId="44217C3D" w14:textId="10E2E348" w:rsidR="001C7F34" w:rsidRPr="00FC226D" w:rsidRDefault="001C7F34" w:rsidP="004446DD">
      <w:pPr>
        <w:spacing w:line="480" w:lineRule="auto"/>
        <w:ind w:firstLine="720"/>
      </w:pPr>
      <w:r w:rsidRPr="00FC226D">
        <w:t xml:space="preserve">Below is an example representation of the model formation of SARIMAX (p,d,q) (P,D,Q, s), where (p,d,q) are the non-seasonal parts’ autoregressive, differencing and moving average order, (P,D,Q) are the order for the seasonality counterpart, and s is the periodicity of the seasons, i.e., the interval a recurring patterns occurs: </w:t>
      </w:r>
    </w:p>
    <w:p w14:paraId="53A80487" w14:textId="77777777" w:rsidR="001C7F34" w:rsidRPr="00E021A3" w:rsidRDefault="00000000" w:rsidP="001C7F34">
      <w:pPr>
        <w:spacing w:line="480" w:lineRule="auto"/>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p</m:t>
              </m:r>
            </m:sub>
          </m:sSub>
          <m:d>
            <m:dPr>
              <m:ctrlPr>
                <w:rPr>
                  <w:rFonts w:ascii="Cambria Math" w:hAnsi="Cambria Math"/>
                  <w:i/>
                </w:rPr>
              </m:ctrlPr>
            </m:dPr>
            <m:e>
              <m:r>
                <w:rPr>
                  <w:rFonts w:ascii="Cambria Math" w:hAnsi="Cambria Math"/>
                </w:rPr>
                <m:t>L</m:t>
              </m:r>
            </m:e>
          </m:d>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m:t>
                  </m:r>
                </m:e>
              </m:acc>
            </m:e>
            <m:sub>
              <m:r>
                <w:rPr>
                  <w:rFonts w:ascii="Cambria Math" w:eastAsiaTheme="minorEastAsia" w:hAnsi="Cambria Math"/>
                </w:rPr>
                <m:t>p</m:t>
              </m:r>
            </m:sub>
          </m:sSub>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s</m:t>
                  </m:r>
                </m:sup>
              </m:sSup>
            </m:e>
          </m:d>
          <m:sSup>
            <m:sSupPr>
              <m:ctrlPr>
                <w:rPr>
                  <w:rFonts w:ascii="Cambria Math" w:hAnsi="Cambria Math"/>
                  <w:i/>
                </w:rPr>
              </m:ctrlPr>
            </m:sSupPr>
            <m:e>
              <m:r>
                <w:rPr>
                  <w:rFonts w:ascii="Cambria Math" w:hAnsi="Cambria Math"/>
                </w:rPr>
                <m:t>∆</m:t>
              </m:r>
            </m:e>
            <m:sup>
              <m:r>
                <w:rPr>
                  <w:rFonts w:ascii="Cambria Math" w:hAnsi="Cambria Math"/>
                </w:rPr>
                <m:t>d</m:t>
              </m:r>
            </m:sup>
          </m:sSup>
          <m:sSubSup>
            <m:sSubSupPr>
              <m:ctrlPr>
                <w:rPr>
                  <w:rFonts w:ascii="Cambria Math" w:hAnsi="Cambria Math"/>
                  <w:i/>
                </w:rPr>
              </m:ctrlPr>
            </m:sSubSupPr>
            <m:e>
              <m:r>
                <w:rPr>
                  <w:rFonts w:ascii="Cambria Math" w:hAnsi="Cambria Math"/>
                </w:rPr>
                <m:t>∆</m:t>
              </m:r>
            </m:e>
            <m:sub>
              <m:r>
                <w:rPr>
                  <w:rFonts w:ascii="Cambria Math" w:hAnsi="Cambria Math"/>
                </w:rPr>
                <m:t>S</m:t>
              </m:r>
            </m:sub>
            <m:sup>
              <m:r>
                <w:rPr>
                  <w:rFonts w:ascii="Cambria Math" w:hAnsi="Cambria Math"/>
                </w:rPr>
                <m:t>D</m:t>
              </m:r>
            </m:sup>
          </m:sSubSup>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q</m:t>
              </m:r>
            </m:sub>
          </m:sSub>
          <m:d>
            <m:dPr>
              <m:ctrlPr>
                <w:rPr>
                  <w:rFonts w:ascii="Cambria Math" w:hAnsi="Cambria Math"/>
                  <w:i/>
                </w:rPr>
              </m:ctrlPr>
            </m:dPr>
            <m:e>
              <m:r>
                <w:rPr>
                  <w:rFonts w:ascii="Cambria Math" w:hAnsi="Cambria Math"/>
                </w:rPr>
                <m:t>L</m:t>
              </m:r>
            </m:e>
          </m:d>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θ</m:t>
                  </m:r>
                </m:e>
              </m:acc>
            </m:e>
            <m:sub>
              <m:r>
                <w:rPr>
                  <w:rFonts w:ascii="Cambria Math" w:eastAsiaTheme="minorEastAsia" w:hAnsi="Cambria Math"/>
                </w:rPr>
                <m:t>Q</m:t>
              </m:r>
            </m:sub>
          </m:sSub>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s</m:t>
                  </m:r>
                </m:sup>
              </m:sSup>
            </m:e>
          </m:d>
          <m:r>
            <w:rPr>
              <w:rFonts w:ascii="Cambria Math" w:hAnsi="Cambria Math"/>
            </w:rPr>
            <m:t xml:space="preserve">+X+ </m:t>
          </m:r>
          <m:sSub>
            <m:sSubPr>
              <m:ctrlPr>
                <w:rPr>
                  <w:rFonts w:ascii="Cambria Math" w:hAnsi="Cambria Math"/>
                  <w:i/>
                </w:rPr>
              </m:ctrlPr>
            </m:sSubPr>
            <m:e>
              <m:r>
                <w:rPr>
                  <w:rFonts w:ascii="Cambria Math" w:hAnsi="Cambria Math"/>
                </w:rPr>
                <m:t>ϵ</m:t>
              </m:r>
            </m:e>
            <m:sub>
              <m:r>
                <w:rPr>
                  <w:rFonts w:ascii="Cambria Math" w:hAnsi="Cambria Math"/>
                </w:rPr>
                <m:t>t</m:t>
              </m:r>
            </m:sub>
          </m:sSub>
        </m:oMath>
      </m:oMathPara>
    </w:p>
    <w:p w14:paraId="6FC29D1C" w14:textId="77777777" w:rsidR="001C7F34" w:rsidRPr="00E021A3" w:rsidRDefault="001C7F34" w:rsidP="001C7F34">
      <w:pPr>
        <w:spacing w:line="480" w:lineRule="auto"/>
      </w:pPr>
      <w:r w:rsidRPr="00E021A3">
        <w:t xml:space="preserve">Where </w:t>
      </w:r>
    </w:p>
    <w:p w14:paraId="181234DC" w14:textId="77777777" w:rsidR="001C7F34" w:rsidRPr="00E021A3" w:rsidRDefault="00000000" w:rsidP="001C7F34">
      <w:pPr>
        <w:spacing w:line="48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p</m:t>
            </m:r>
          </m:sub>
        </m:sSub>
        <m:d>
          <m:dPr>
            <m:ctrlPr>
              <w:rPr>
                <w:rFonts w:ascii="Cambria Math" w:hAnsi="Cambria Math"/>
                <w:i/>
              </w:rPr>
            </m:ctrlPr>
          </m:dPr>
          <m:e>
            <m:r>
              <w:rPr>
                <w:rFonts w:ascii="Cambria Math" w:hAnsi="Cambria Math"/>
              </w:rPr>
              <m:t>L</m:t>
            </m:r>
          </m:e>
        </m:d>
      </m:oMath>
      <w:r w:rsidR="001C7F34" w:rsidRPr="00E021A3">
        <w:rPr>
          <w:rFonts w:eastAsiaTheme="minorEastAsia"/>
        </w:rPr>
        <w:t xml:space="preserve"> is the non-seasonal autoregressive lag polynomial </w:t>
      </w:r>
    </w:p>
    <w:p w14:paraId="0D828ECD" w14:textId="77777777" w:rsidR="001C7F34" w:rsidRPr="00E021A3" w:rsidRDefault="00000000" w:rsidP="001C7F34">
      <w:pPr>
        <w:spacing w:line="480" w:lineRule="auto"/>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m:t>
                </m:r>
              </m:e>
            </m:acc>
          </m:e>
          <m:sub>
            <m:r>
              <w:rPr>
                <w:rFonts w:ascii="Cambria Math" w:eastAsiaTheme="minorEastAsia" w:hAnsi="Cambria Math"/>
              </w:rPr>
              <m:t>p</m:t>
            </m:r>
          </m:sub>
        </m:sSub>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s</m:t>
                </m:r>
              </m:sup>
            </m:sSup>
          </m:e>
        </m:d>
      </m:oMath>
      <w:r w:rsidR="001C7F34" w:rsidRPr="00E021A3">
        <w:rPr>
          <w:rFonts w:eastAsiaTheme="minorEastAsia"/>
        </w:rPr>
        <w:t xml:space="preserve"> is the seasonal autoregressive lag polynomial </w:t>
      </w:r>
    </w:p>
    <w:p w14:paraId="64AD0EC2" w14:textId="77777777" w:rsidR="001C7F34" w:rsidRPr="00E021A3" w:rsidRDefault="00000000" w:rsidP="001C7F34">
      <w:pPr>
        <w:spacing w:line="480" w:lineRule="auto"/>
        <w:rPr>
          <w:rFonts w:eastAsiaTheme="minorEastAsia"/>
        </w:rPr>
      </w:pPr>
      <m:oMath>
        <m:sSup>
          <m:sSupPr>
            <m:ctrlPr>
              <w:rPr>
                <w:rFonts w:ascii="Cambria Math" w:hAnsi="Cambria Math"/>
                <w:i/>
              </w:rPr>
            </m:ctrlPr>
          </m:sSupPr>
          <m:e>
            <m:r>
              <w:rPr>
                <w:rFonts w:ascii="Cambria Math" w:hAnsi="Cambria Math"/>
              </w:rPr>
              <m:t>∆</m:t>
            </m:r>
          </m:e>
          <m:sup>
            <m:r>
              <w:rPr>
                <w:rFonts w:ascii="Cambria Math" w:hAnsi="Cambria Math"/>
              </w:rPr>
              <m:t>d</m:t>
            </m:r>
          </m:sup>
        </m:sSup>
        <m:sSubSup>
          <m:sSubSupPr>
            <m:ctrlPr>
              <w:rPr>
                <w:rFonts w:ascii="Cambria Math" w:hAnsi="Cambria Math"/>
                <w:i/>
              </w:rPr>
            </m:ctrlPr>
          </m:sSubSupPr>
          <m:e>
            <m:r>
              <w:rPr>
                <w:rFonts w:ascii="Cambria Math" w:hAnsi="Cambria Math"/>
              </w:rPr>
              <m:t>∆</m:t>
            </m:r>
          </m:e>
          <m:sub>
            <m:r>
              <w:rPr>
                <w:rFonts w:ascii="Cambria Math" w:hAnsi="Cambria Math"/>
              </w:rPr>
              <m:t>S</m:t>
            </m:r>
          </m:sub>
          <m:sup>
            <m:r>
              <w:rPr>
                <w:rFonts w:ascii="Cambria Math" w:hAnsi="Cambria Math"/>
              </w:rPr>
              <m:t>D</m:t>
            </m:r>
          </m:sup>
        </m:sSubSup>
        <m:sSub>
          <m:sSubPr>
            <m:ctrlPr>
              <w:rPr>
                <w:rFonts w:ascii="Cambria Math" w:hAnsi="Cambria Math"/>
                <w:i/>
              </w:rPr>
            </m:ctrlPr>
          </m:sSubPr>
          <m:e>
            <m:r>
              <w:rPr>
                <w:rFonts w:ascii="Cambria Math" w:hAnsi="Cambria Math"/>
              </w:rPr>
              <m:t>y</m:t>
            </m:r>
          </m:e>
          <m:sub>
            <m:r>
              <w:rPr>
                <w:rFonts w:ascii="Cambria Math" w:hAnsi="Cambria Math"/>
              </w:rPr>
              <m:t>t</m:t>
            </m:r>
          </m:sub>
        </m:sSub>
      </m:oMath>
      <w:r w:rsidR="001C7F34" w:rsidRPr="00E021A3">
        <w:rPr>
          <w:rFonts w:eastAsiaTheme="minorEastAsia"/>
        </w:rPr>
        <w:t xml:space="preserve"> is the time series, differenced d times, and seasonality differenced D times </w:t>
      </w:r>
    </w:p>
    <w:p w14:paraId="5E1C22D5" w14:textId="77777777" w:rsidR="001C7F34" w:rsidRPr="00E021A3" w:rsidRDefault="001C7F34" w:rsidP="001C7F34">
      <w:pPr>
        <w:spacing w:line="480" w:lineRule="auto"/>
        <w:rPr>
          <w:rFonts w:eastAsiaTheme="minorEastAsia"/>
        </w:rPr>
      </w:pPr>
      <m:oMath>
        <m:r>
          <w:rPr>
            <w:rFonts w:ascii="Cambria Math" w:hAnsi="Cambria Math"/>
          </w:rPr>
          <m:t>A</m:t>
        </m:r>
        <m:d>
          <m:dPr>
            <m:ctrlPr>
              <w:rPr>
                <w:rFonts w:ascii="Cambria Math" w:hAnsi="Cambria Math"/>
                <w:i/>
              </w:rPr>
            </m:ctrlPr>
          </m:dPr>
          <m:e>
            <m:r>
              <w:rPr>
                <w:rFonts w:ascii="Cambria Math" w:hAnsi="Cambria Math"/>
              </w:rPr>
              <m:t>t</m:t>
            </m:r>
          </m:e>
        </m:d>
      </m:oMath>
      <w:r w:rsidRPr="00E021A3">
        <w:rPr>
          <w:rFonts w:eastAsiaTheme="minorEastAsia"/>
        </w:rPr>
        <w:t xml:space="preserve"> is the trend polynomial (including the intercept)</w:t>
      </w:r>
    </w:p>
    <w:p w14:paraId="787136F8" w14:textId="77777777" w:rsidR="001C7F34" w:rsidRPr="00E021A3" w:rsidRDefault="00000000" w:rsidP="001C7F34">
      <w:pPr>
        <w:spacing w:line="48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q</m:t>
            </m:r>
          </m:sub>
        </m:sSub>
        <m:d>
          <m:dPr>
            <m:ctrlPr>
              <w:rPr>
                <w:rFonts w:ascii="Cambria Math" w:hAnsi="Cambria Math"/>
                <w:i/>
              </w:rPr>
            </m:ctrlPr>
          </m:dPr>
          <m:e>
            <m:r>
              <w:rPr>
                <w:rFonts w:ascii="Cambria Math" w:hAnsi="Cambria Math"/>
              </w:rPr>
              <m:t>L</m:t>
            </m:r>
          </m:e>
        </m:d>
      </m:oMath>
      <w:r w:rsidR="001C7F34" w:rsidRPr="00E021A3">
        <w:rPr>
          <w:rFonts w:eastAsiaTheme="minorEastAsia"/>
        </w:rPr>
        <w:t xml:space="preserve"> is the non-seasonal moving average lag polynomial </w:t>
      </w:r>
    </w:p>
    <w:p w14:paraId="2A56B005" w14:textId="77777777" w:rsidR="001C7F34" w:rsidRPr="00E021A3" w:rsidRDefault="00000000" w:rsidP="001C7F34">
      <w:pPr>
        <w:spacing w:line="480" w:lineRule="auto"/>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θ</m:t>
                </m:r>
              </m:e>
            </m:acc>
          </m:e>
          <m:sub>
            <m:r>
              <w:rPr>
                <w:rFonts w:ascii="Cambria Math" w:eastAsiaTheme="minorEastAsia" w:hAnsi="Cambria Math"/>
              </w:rPr>
              <m:t>Q</m:t>
            </m:r>
          </m:sub>
        </m:sSub>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s</m:t>
                </m:r>
              </m:sup>
            </m:sSup>
          </m:e>
        </m:d>
        <m:r>
          <w:rPr>
            <w:rFonts w:ascii="Cambria Math" w:hAnsi="Cambria Math"/>
          </w:rPr>
          <m:t xml:space="preserve"> </m:t>
        </m:r>
      </m:oMath>
      <w:r w:rsidR="001C7F34" w:rsidRPr="00E021A3">
        <w:rPr>
          <w:rFonts w:eastAsiaTheme="minorEastAsia"/>
        </w:rPr>
        <w:t xml:space="preserve">is the seasonal moving average lag polynomial </w:t>
      </w:r>
    </w:p>
    <w:p w14:paraId="5AAB8742" w14:textId="77777777" w:rsidR="001C7F34" w:rsidRPr="00E021A3" w:rsidRDefault="001C7F34" w:rsidP="001C7F34">
      <w:pPr>
        <w:spacing w:line="480" w:lineRule="auto"/>
        <w:rPr>
          <w:rFonts w:eastAsiaTheme="minorEastAsia"/>
        </w:rPr>
      </w:pPr>
      <w:r w:rsidRPr="00E021A3">
        <w:rPr>
          <w:rFonts w:eastAsiaTheme="minorEastAsia"/>
        </w:rPr>
        <w:t xml:space="preserve">X is the contemporaneous exogenous ad spend variable </w:t>
      </w:r>
    </w:p>
    <w:p w14:paraId="0170C7D8" w14:textId="77777777" w:rsidR="001C7F34" w:rsidRPr="00E021A3" w:rsidRDefault="00000000" w:rsidP="001C7F34">
      <w:pPr>
        <w:spacing w:line="480" w:lineRule="auto"/>
        <w:rPr>
          <w:rFonts w:eastAsiaTheme="minorEastAsia"/>
        </w:rPr>
      </w:pPr>
      <m:oMath>
        <m:sSub>
          <m:sSubPr>
            <m:ctrlPr>
              <w:rPr>
                <w:rFonts w:ascii="Cambria Math" w:hAnsi="Cambria Math"/>
                <w:i/>
              </w:rPr>
            </m:ctrlPr>
          </m:sSubPr>
          <m:e>
            <m:r>
              <w:rPr>
                <w:rFonts w:ascii="Cambria Math" w:hAnsi="Cambria Math"/>
              </w:rPr>
              <m:t>ϵ</m:t>
            </m:r>
          </m:e>
          <m:sub>
            <m:r>
              <w:rPr>
                <w:rFonts w:ascii="Cambria Math" w:hAnsi="Cambria Math"/>
              </w:rPr>
              <m:t>t</m:t>
            </m:r>
          </m:sub>
        </m:sSub>
      </m:oMath>
      <w:r w:rsidR="001C7F34" w:rsidRPr="00E021A3">
        <w:rPr>
          <w:rFonts w:eastAsiaTheme="minorEastAsia"/>
        </w:rPr>
        <w:t xml:space="preserve"> is the error term</w:t>
      </w:r>
    </w:p>
    <w:p w14:paraId="4DDE74F7" w14:textId="289FA10F" w:rsidR="000050DA" w:rsidRDefault="001C7F34" w:rsidP="000050DA">
      <w:pPr>
        <w:spacing w:line="480" w:lineRule="auto"/>
        <w:ind w:firstLine="720"/>
      </w:pPr>
      <w:r w:rsidRPr="00E021A3">
        <w:t xml:space="preserve">The exact orders of (p,d,q) (P,D,Q,s) are done through Python Library </w:t>
      </w:r>
      <w:hyperlink r:id="rId8" w:history="1">
        <w:r w:rsidRPr="00E021A3">
          <w:rPr>
            <w:rStyle w:val="Hyperlink"/>
          </w:rPr>
          <w:t>pmdarima</w:t>
        </w:r>
      </w:hyperlink>
      <w:r w:rsidRPr="00E021A3">
        <w:t xml:space="preserve">’s auto_arima procedure, where the parameter combination with the lowest Akaike Information Criterion (AIC) is selected as the best model. </w:t>
      </w:r>
      <w:r w:rsidR="0045175D">
        <w:t xml:space="preserve">We execute this procedure for two performance variables: (1) </w:t>
      </w:r>
      <w:r w:rsidRPr="00E021A3">
        <w:t>D</w:t>
      </w:r>
      <w:r w:rsidR="00FC226D">
        <w:t>etail Page Views (D</w:t>
      </w:r>
      <w:r w:rsidRPr="00E021A3">
        <w:t>PV</w:t>
      </w:r>
      <w:r w:rsidR="00FC226D">
        <w:t>)</w:t>
      </w:r>
      <w:r w:rsidR="0045175D">
        <w:t>, representing consumer consideration of the brand on Amazon</w:t>
      </w:r>
      <w:r w:rsidR="00415775">
        <w:rPr>
          <w:vertAlign w:val="superscript"/>
        </w:rPr>
        <w:t>5</w:t>
      </w:r>
      <w:r w:rsidR="0045175D">
        <w:t xml:space="preserve"> and (2) </w:t>
      </w:r>
      <w:r w:rsidRPr="00E021A3">
        <w:t>retail revenue</w:t>
      </w:r>
      <w:r w:rsidR="00C54BAA">
        <w:t>, representing conversion</w:t>
      </w:r>
      <w:r w:rsidR="0075127F">
        <w:t xml:space="preserve">. The two performances are estimated separately </w:t>
      </w:r>
      <w:r w:rsidR="00C54BAA">
        <w:t xml:space="preserve">because ads could have different effects on each </w:t>
      </w:r>
      <w:r w:rsidR="00C26650">
        <w:t>KPI</w:t>
      </w:r>
      <w:r w:rsidR="00C54BAA">
        <w:t>.</w:t>
      </w:r>
      <w:r w:rsidRPr="00E021A3">
        <w:t xml:space="preserve">  Consistent with past academic research</w:t>
      </w:r>
      <w:r w:rsidR="00415775">
        <w:rPr>
          <w:vertAlign w:val="superscript"/>
        </w:rPr>
        <w:t>6</w:t>
      </w:r>
      <w:r w:rsidR="00715B4E">
        <w:t xml:space="preserve">, </w:t>
      </w:r>
      <w:r w:rsidRPr="00E021A3">
        <w:t xml:space="preserve">we extract the coefficients from best-fitting model and interpret all as relative to SP as the benchmark. </w:t>
      </w:r>
    </w:p>
    <w:p w14:paraId="5C6B89C5" w14:textId="4E723A26" w:rsidR="0045175D" w:rsidRDefault="006348B9" w:rsidP="007F0DB7">
      <w:pPr>
        <w:spacing w:line="480" w:lineRule="auto"/>
        <w:ind w:firstLine="720"/>
      </w:pPr>
      <w:r>
        <w:t>Variable inclusion and lag order selection follow the established tests for time series models</w:t>
      </w:r>
      <w:r w:rsidRPr="007F0DB7">
        <w:rPr>
          <w:vertAlign w:val="superscript"/>
        </w:rPr>
        <w:t>6</w:t>
      </w:r>
      <w:r>
        <w:t xml:space="preserve">.  </w:t>
      </w:r>
      <w:r w:rsidR="000050DA">
        <w:t xml:space="preserve">First, </w:t>
      </w:r>
      <w:r w:rsidR="00E455DB">
        <w:t>we test</w:t>
      </w:r>
      <w:r w:rsidR="0075127F">
        <w:t>ed</w:t>
      </w:r>
      <w:r w:rsidR="00E455DB">
        <w:t xml:space="preserve"> the stationarity of all variables with </w:t>
      </w:r>
      <w:r w:rsidR="000050DA">
        <w:t>Augmented Dickey-Fuller (ADF) test</w:t>
      </w:r>
      <w:r w:rsidR="00E455DB">
        <w:t>. A</w:t>
      </w:r>
      <w:r w:rsidR="000050DA">
        <w:t xml:space="preserve">ll </w:t>
      </w:r>
      <w:r w:rsidR="00E455DB">
        <w:t xml:space="preserve">variables </w:t>
      </w:r>
      <w:r w:rsidR="000050DA">
        <w:t xml:space="preserve">were </w:t>
      </w:r>
      <w:r w:rsidR="00E455DB">
        <w:t xml:space="preserve">classified as </w:t>
      </w:r>
      <w:r w:rsidR="000050DA">
        <w:t>stationary and thus no further differencing is needed.  Second, before each model fitting, we checked multicollinearity by using Variance Inflation Factor (VIF) and took out ad product</w:t>
      </w:r>
      <w:r w:rsidR="00E455DB">
        <w:t xml:space="preserve"> variables</w:t>
      </w:r>
      <w:r w:rsidR="000050DA">
        <w:t xml:space="preserve"> </w:t>
      </w:r>
      <w:r w:rsidR="00E455DB">
        <w:t>with a</w:t>
      </w:r>
      <w:r w:rsidR="000050DA">
        <w:t xml:space="preserve"> VIF above 10. </w:t>
      </w:r>
      <w:r w:rsidR="007F0DB7">
        <w:t>Third, we select</w:t>
      </w:r>
      <w:r w:rsidR="0075127F">
        <w:t>ed</w:t>
      </w:r>
      <w:r w:rsidR="007F0DB7">
        <w:t xml:space="preserve"> the lag </w:t>
      </w:r>
      <w:r w:rsidR="0075127F">
        <w:t xml:space="preserve">order </w:t>
      </w:r>
      <w:r w:rsidR="007F0DB7">
        <w:t>preferred by both the Akaike Information Criterion</w:t>
      </w:r>
      <w:r w:rsidR="0075127F">
        <w:t xml:space="preserve"> (AIC)</w:t>
      </w:r>
      <w:r w:rsidR="007F0DB7">
        <w:t xml:space="preserve"> and the Bayesian Information </w:t>
      </w:r>
      <w:r w:rsidR="007F0DB7">
        <w:lastRenderedPageBreak/>
        <w:t>Criterion</w:t>
      </w:r>
      <w:r w:rsidR="0075127F">
        <w:t xml:space="preserve"> (BIC)</w:t>
      </w:r>
      <w:r w:rsidR="007F0DB7">
        <w:t xml:space="preserve">. Fourth, we verify </w:t>
      </w:r>
      <w:r w:rsidR="005F203C">
        <w:t xml:space="preserve">that </w:t>
      </w:r>
      <w:r w:rsidR="007F0DB7">
        <w:t>the residuals</w:t>
      </w:r>
      <w:r w:rsidR="005F203C">
        <w:t xml:space="preserve"> are</w:t>
      </w:r>
      <w:r w:rsidR="007F0DB7">
        <w:t xml:space="preserve"> approximately normally distributed with Q-Q plot visuals and show no substantial serial correlation </w:t>
      </w:r>
      <w:r w:rsidR="00424FC9">
        <w:t xml:space="preserve">via </w:t>
      </w:r>
      <w:r w:rsidR="007F0DB7">
        <w:t xml:space="preserve">the </w:t>
      </w:r>
      <w:r w:rsidR="000050DA">
        <w:t>Ljung-Box test</w:t>
      </w:r>
      <w:r w:rsidR="007F0DB7">
        <w:t>.</w:t>
      </w:r>
    </w:p>
    <w:p w14:paraId="252D00F8" w14:textId="07941390" w:rsidR="00532199" w:rsidRDefault="00532199" w:rsidP="00532199">
      <w:pPr>
        <w:spacing w:line="480" w:lineRule="auto"/>
        <w:ind w:firstLine="720"/>
      </w:pPr>
      <w:r>
        <w:t xml:space="preserve">Beyond the coefficient estimates, we also derive from the SARIMAX model the importance of seasonality, </w:t>
      </w:r>
      <w:r w:rsidRPr="009D37E6">
        <w:t>which is the magnitude of KPIs that repeat at regular cadence.</w:t>
      </w:r>
      <w:r w:rsidR="00536FA6">
        <w:t xml:space="preserve"> This importance is expressed as a percentage (%) of the </w:t>
      </w:r>
      <w:r w:rsidR="00233F9A">
        <w:t xml:space="preserve">performance </w:t>
      </w:r>
      <w:r w:rsidR="009D7D78">
        <w:t>driven</w:t>
      </w:r>
      <w:r w:rsidR="00233F9A">
        <w:t xml:space="preserve"> by </w:t>
      </w:r>
      <w:r w:rsidR="00C26650">
        <w:t>seasonality.</w:t>
      </w:r>
    </w:p>
    <w:p w14:paraId="5EDA70A0" w14:textId="77777777" w:rsidR="00233F9A" w:rsidRDefault="00233F9A"/>
    <w:p w14:paraId="5785C850" w14:textId="6722F46E" w:rsidR="001C7F34" w:rsidRDefault="0045175D" w:rsidP="00233F9A">
      <w:pPr>
        <w:rPr>
          <w:b/>
          <w:bCs/>
        </w:rPr>
      </w:pPr>
      <w:r w:rsidRPr="0045175D">
        <w:rPr>
          <w:b/>
          <w:bCs/>
        </w:rPr>
        <w:t>RESULTS</w:t>
      </w:r>
    </w:p>
    <w:p w14:paraId="528EF1DC" w14:textId="5D215B98" w:rsidR="002F52A8" w:rsidRDefault="002F52A8" w:rsidP="00C26650">
      <w:pPr>
        <w:spacing w:line="480" w:lineRule="auto"/>
        <w:ind w:firstLine="720"/>
      </w:pPr>
      <w:r>
        <w:t xml:space="preserve">The SARIMAX model adequately captures the data generating process for each studied brand, and the marketing coefficients are </w:t>
      </w:r>
      <w:r w:rsidR="00233F9A">
        <w:t xml:space="preserve">all </w:t>
      </w:r>
      <w:r>
        <w:t>significant at the 90% (p</w:t>
      </w:r>
      <w:r w:rsidR="00536FA6">
        <w:t xml:space="preserve"> </w:t>
      </w:r>
      <w:r>
        <w:t>&lt;</w:t>
      </w:r>
      <w:r w:rsidR="00536FA6">
        <w:t xml:space="preserve"> </w:t>
      </w:r>
      <w:r>
        <w:t>0.10) level.</w:t>
      </w:r>
      <w:r w:rsidR="00E743CD" w:rsidDel="00E743CD">
        <w:t xml:space="preserve"> </w:t>
      </w:r>
      <w:r w:rsidR="00E743CD" w:rsidRPr="00C26AB9">
        <w:t>Brand level results are available upon request</w:t>
      </w:r>
      <w:r w:rsidR="00E743CD">
        <w:t>, subject to Amazon Approval process.</w:t>
      </w:r>
    </w:p>
    <w:p w14:paraId="69FBFCBA" w14:textId="63809078" w:rsidR="00415775" w:rsidRDefault="0045175D" w:rsidP="00C26650">
      <w:pPr>
        <w:spacing w:line="480" w:lineRule="auto"/>
        <w:ind w:firstLine="720"/>
      </w:pPr>
      <w:r>
        <w:t>Our first substantive finding</w:t>
      </w:r>
      <w:r w:rsidR="007F0DB7">
        <w:t xml:space="preserve">, </w:t>
      </w:r>
      <w:r>
        <w:t xml:space="preserve">shown in </w:t>
      </w:r>
      <w:r w:rsidR="00A41494">
        <w:t xml:space="preserve">Figure </w:t>
      </w:r>
      <w:r>
        <w:t>1, is that the upper funnel ads (</w:t>
      </w:r>
      <w:r w:rsidR="00E021A3" w:rsidRPr="0045175D">
        <w:t xml:space="preserve">SB, SD, DSP Display </w:t>
      </w:r>
      <w:r>
        <w:t xml:space="preserve">Video </w:t>
      </w:r>
      <w:r w:rsidR="00E021A3" w:rsidRPr="0045175D">
        <w:t>and STV</w:t>
      </w:r>
      <w:r>
        <w:t xml:space="preserve">) have higher effectiveness than </w:t>
      </w:r>
      <w:r w:rsidR="00E021A3" w:rsidRPr="0045175D">
        <w:t xml:space="preserve">SP on </w:t>
      </w:r>
      <w:r>
        <w:t>Detail Page Views</w:t>
      </w:r>
      <w:r w:rsidR="00E5599A">
        <w:t xml:space="preserve"> (DPV)</w:t>
      </w:r>
      <w:r w:rsidR="00C84B5E">
        <w:t>.</w:t>
      </w:r>
      <w:r>
        <w:t xml:space="preserve"> </w:t>
      </w:r>
      <w:r w:rsidR="00C84B5E">
        <w:t xml:space="preserve">This means </w:t>
      </w:r>
      <w:r w:rsidR="00A41494">
        <w:t>the</w:t>
      </w:r>
      <w:r w:rsidR="00C84B5E">
        <w:t>y</w:t>
      </w:r>
      <w:r w:rsidR="006412DF">
        <w:t xml:space="preserve"> significantly</w:t>
      </w:r>
      <w:r w:rsidR="00A41494">
        <w:t xml:space="preserve"> improv</w:t>
      </w:r>
      <w:r w:rsidR="00C84B5E">
        <w:t>e</w:t>
      </w:r>
      <w:r w:rsidR="00A41494">
        <w:t xml:space="preserve"> brand</w:t>
      </w:r>
      <w:r>
        <w:t xml:space="preserve"> </w:t>
      </w:r>
      <w:r w:rsidR="00E021A3" w:rsidRPr="0045175D">
        <w:t>consideration</w:t>
      </w:r>
      <w:r w:rsidR="006412DF">
        <w:t xml:space="preserve"> relative to SP</w:t>
      </w:r>
      <w:r>
        <w:t xml:space="preserve">. </w:t>
      </w:r>
    </w:p>
    <w:p w14:paraId="5BFB25C7" w14:textId="77777777" w:rsidR="002F52A8" w:rsidRDefault="002F52A8" w:rsidP="009D37E6">
      <w:pPr>
        <w:spacing w:line="480" w:lineRule="auto"/>
        <w:ind w:firstLine="720"/>
      </w:pPr>
    </w:p>
    <w:p w14:paraId="597F69F3" w14:textId="593A537B" w:rsidR="00E5599A" w:rsidRDefault="00E5599A" w:rsidP="00E5599A">
      <w:pPr>
        <w:spacing w:line="480" w:lineRule="auto"/>
        <w:rPr>
          <w:bCs/>
        </w:rPr>
      </w:pPr>
      <w:r>
        <w:rPr>
          <w:bCs/>
        </w:rPr>
        <w:t xml:space="preserve">Figure 1. </w:t>
      </w:r>
      <w:r w:rsidR="00233F9A">
        <w:rPr>
          <w:bCs/>
        </w:rPr>
        <w:t>I</w:t>
      </w:r>
      <w:r>
        <w:rPr>
          <w:bCs/>
        </w:rPr>
        <w:t>ndexed Ad Efficacy on D</w:t>
      </w:r>
      <w:r w:rsidR="00C6798F">
        <w:rPr>
          <w:bCs/>
        </w:rPr>
        <w:t>etail Page Views</w:t>
      </w:r>
      <w:r>
        <w:rPr>
          <w:bCs/>
        </w:rPr>
        <w:t xml:space="preserve"> Relative to Benchmark</w:t>
      </w:r>
      <w:r w:rsidR="00233F9A">
        <w:rPr>
          <w:bCs/>
        </w:rPr>
        <w:t>*</w:t>
      </w:r>
      <w:r>
        <w:rPr>
          <w:bCs/>
        </w:rPr>
        <w:t xml:space="preserve"> </w:t>
      </w:r>
    </w:p>
    <w:p w14:paraId="08106719" w14:textId="77777777" w:rsidR="00E5599A" w:rsidRPr="00E021A3" w:rsidRDefault="00E5599A" w:rsidP="00E5599A">
      <w:pPr>
        <w:spacing w:line="480" w:lineRule="auto"/>
        <w:rPr>
          <w:bCs/>
        </w:rPr>
      </w:pPr>
      <w:r>
        <w:rPr>
          <w:noProof/>
        </w:rPr>
        <w:lastRenderedPageBreak/>
        <w:drawing>
          <wp:inline distT="0" distB="0" distL="0" distR="0" wp14:anchorId="784FD90F" wp14:editId="40FEC67F">
            <wp:extent cx="5943600" cy="3640455"/>
            <wp:effectExtent l="0" t="0" r="12700" b="17145"/>
            <wp:docPr id="1" name="Chart 1">
              <a:extLst xmlns:a="http://schemas.openxmlformats.org/drawingml/2006/main">
                <a:ext uri="{FF2B5EF4-FFF2-40B4-BE49-F238E27FC236}">
                  <a16:creationId xmlns:a16="http://schemas.microsoft.com/office/drawing/2014/main" id="{7AE950BC-D356-1AF1-3FF6-D88386E73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7E0528" w14:textId="5EA45C74" w:rsidR="00E5599A" w:rsidRPr="009D37E6" w:rsidRDefault="00C6798F" w:rsidP="0045175D">
      <w:pPr>
        <w:spacing w:line="480" w:lineRule="auto"/>
        <w:rPr>
          <w:i/>
          <w:iCs/>
        </w:rPr>
      </w:pPr>
      <w:r w:rsidRPr="009D37E6">
        <w:rPr>
          <w:i/>
          <w:iCs/>
        </w:rPr>
        <w:t>*</w:t>
      </w:r>
      <w:r w:rsidR="00E5599A" w:rsidRPr="009D37E6">
        <w:rPr>
          <w:i/>
          <w:iCs/>
        </w:rPr>
        <w:t xml:space="preserve"> </w:t>
      </w:r>
      <w:r w:rsidR="00233F9A" w:rsidRPr="009D37E6">
        <w:rPr>
          <w:i/>
          <w:iCs/>
        </w:rPr>
        <w:t>Bar</w:t>
      </w:r>
      <w:r w:rsidR="00E5599A" w:rsidRPr="009D37E6">
        <w:rPr>
          <w:i/>
          <w:iCs/>
        </w:rPr>
        <w:t xml:space="preserve"> height indicates average</w:t>
      </w:r>
      <w:r w:rsidR="00233F9A">
        <w:rPr>
          <w:i/>
          <w:iCs/>
        </w:rPr>
        <w:t xml:space="preserve"> value</w:t>
      </w:r>
      <w:r w:rsidR="00E5599A" w:rsidRPr="009D37E6">
        <w:rPr>
          <w:i/>
          <w:iCs/>
        </w:rPr>
        <w:t xml:space="preserve"> across all brands, wh</w:t>
      </w:r>
      <w:r w:rsidRPr="009D37E6">
        <w:rPr>
          <w:i/>
          <w:iCs/>
        </w:rPr>
        <w:t>ile</w:t>
      </w:r>
      <w:r w:rsidR="00E5599A" w:rsidRPr="009D37E6">
        <w:rPr>
          <w:i/>
          <w:iCs/>
        </w:rPr>
        <w:t xml:space="preserve"> the line indicates standard deviation.  </w:t>
      </w:r>
      <w:r w:rsidR="00233F9A">
        <w:rPr>
          <w:i/>
          <w:iCs/>
        </w:rPr>
        <w:t xml:space="preserve">SP is used as benchmark </w:t>
      </w:r>
      <w:r w:rsidR="00E743CD">
        <w:rPr>
          <w:i/>
          <w:iCs/>
        </w:rPr>
        <w:t>of</w:t>
      </w:r>
      <w:r w:rsidR="00233F9A">
        <w:rPr>
          <w:i/>
          <w:iCs/>
        </w:rPr>
        <w:t xml:space="preserve"> 1. </w:t>
      </w:r>
    </w:p>
    <w:p w14:paraId="2588B0C0" w14:textId="77777777" w:rsidR="002F52A8" w:rsidRDefault="002F52A8" w:rsidP="0045175D">
      <w:pPr>
        <w:spacing w:line="480" w:lineRule="auto"/>
      </w:pPr>
    </w:p>
    <w:p w14:paraId="267769D0" w14:textId="53F701B8" w:rsidR="00E5599A" w:rsidRDefault="002F52A8" w:rsidP="0045175D">
      <w:pPr>
        <w:spacing w:line="480" w:lineRule="auto"/>
      </w:pPr>
      <w:r>
        <w:t>The findings are similar for revenue, as shown in Figure 2. Thus, increased investment in these ad products is</w:t>
      </w:r>
      <w:r w:rsidR="00C84B5E">
        <w:t xml:space="preserve"> associated</w:t>
      </w:r>
      <w:r>
        <w:t xml:space="preserve"> not only with increased consideration, but also with </w:t>
      </w:r>
      <w:r w:rsidR="00C84B5E">
        <w:t xml:space="preserve">increased </w:t>
      </w:r>
      <w:r>
        <w:t>conversion.</w:t>
      </w:r>
    </w:p>
    <w:p w14:paraId="4609CACF" w14:textId="77777777" w:rsidR="00233F9A" w:rsidRDefault="00233F9A" w:rsidP="0045175D">
      <w:pPr>
        <w:spacing w:line="480" w:lineRule="auto"/>
      </w:pPr>
    </w:p>
    <w:p w14:paraId="2098A3F1" w14:textId="35B2BD63" w:rsidR="00E5599A" w:rsidRDefault="00E5599A" w:rsidP="00E5599A">
      <w:pPr>
        <w:spacing w:line="480" w:lineRule="auto"/>
        <w:rPr>
          <w:bCs/>
        </w:rPr>
      </w:pPr>
      <w:r>
        <w:rPr>
          <w:bCs/>
        </w:rPr>
        <w:t>Figure 2. Indexed Ad Efficacy on Revenue Relative to Benchmark</w:t>
      </w:r>
      <w:r w:rsidR="00233F9A">
        <w:rPr>
          <w:bCs/>
        </w:rPr>
        <w:t>*</w:t>
      </w:r>
      <w:r>
        <w:rPr>
          <w:bCs/>
        </w:rPr>
        <w:t xml:space="preserve"> </w:t>
      </w:r>
    </w:p>
    <w:p w14:paraId="1AD61644" w14:textId="17D036FC" w:rsidR="00E5599A" w:rsidRPr="00E021A3" w:rsidRDefault="00E5599A" w:rsidP="00C6798F">
      <w:pPr>
        <w:spacing w:line="480" w:lineRule="auto"/>
        <w:jc w:val="center"/>
        <w:rPr>
          <w:bCs/>
        </w:rPr>
      </w:pPr>
      <w:r>
        <w:rPr>
          <w:noProof/>
        </w:rPr>
        <w:lastRenderedPageBreak/>
        <w:drawing>
          <wp:inline distT="0" distB="0" distL="0" distR="0" wp14:anchorId="29DA1F37" wp14:editId="47381245">
            <wp:extent cx="5353050" cy="2959100"/>
            <wp:effectExtent l="0" t="0" r="6350" b="12700"/>
            <wp:docPr id="4" name="Chart 4">
              <a:extLst xmlns:a="http://schemas.openxmlformats.org/drawingml/2006/main">
                <a:ext uri="{FF2B5EF4-FFF2-40B4-BE49-F238E27FC236}">
                  <a16:creationId xmlns:a16="http://schemas.microsoft.com/office/drawing/2014/main" id="{86ACA736-F851-8D50-B118-A140E19EBE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36E07B" w14:textId="25186039" w:rsidR="006412DF" w:rsidRPr="009D37E6" w:rsidRDefault="00C6798F" w:rsidP="0045175D">
      <w:pPr>
        <w:spacing w:line="480" w:lineRule="auto"/>
        <w:rPr>
          <w:i/>
          <w:iCs/>
        </w:rPr>
      </w:pPr>
      <w:r w:rsidRPr="009D37E6">
        <w:rPr>
          <w:i/>
          <w:iCs/>
        </w:rPr>
        <w:t xml:space="preserve">* </w:t>
      </w:r>
      <w:r w:rsidR="00233F9A" w:rsidRPr="009D37E6">
        <w:rPr>
          <w:i/>
          <w:iCs/>
        </w:rPr>
        <w:t>Bar</w:t>
      </w:r>
      <w:r w:rsidRPr="009D37E6">
        <w:rPr>
          <w:i/>
          <w:iCs/>
        </w:rPr>
        <w:t xml:space="preserve"> height indicates average </w:t>
      </w:r>
      <w:r w:rsidR="00233F9A">
        <w:rPr>
          <w:i/>
          <w:iCs/>
        </w:rPr>
        <w:t xml:space="preserve">value </w:t>
      </w:r>
      <w:r w:rsidRPr="009D37E6">
        <w:rPr>
          <w:i/>
          <w:iCs/>
        </w:rPr>
        <w:t>across all brands, while the line indicates standard deviation</w:t>
      </w:r>
      <w:r w:rsidR="00233F9A">
        <w:rPr>
          <w:i/>
          <w:iCs/>
        </w:rPr>
        <w:t xml:space="preserve">. SP is used as benchmark </w:t>
      </w:r>
      <w:r w:rsidR="00E743CD">
        <w:rPr>
          <w:i/>
          <w:iCs/>
        </w:rPr>
        <w:t>of</w:t>
      </w:r>
      <w:r w:rsidR="00233F9A">
        <w:rPr>
          <w:i/>
          <w:iCs/>
        </w:rPr>
        <w:t xml:space="preserve"> 1.</w:t>
      </w:r>
    </w:p>
    <w:p w14:paraId="2823145E" w14:textId="77777777" w:rsidR="00C6798F" w:rsidRDefault="00C6798F" w:rsidP="0045175D">
      <w:pPr>
        <w:spacing w:line="480" w:lineRule="auto"/>
      </w:pPr>
    </w:p>
    <w:p w14:paraId="297D61C2" w14:textId="66087AB2" w:rsidR="00947EF3" w:rsidRDefault="002F52A8" w:rsidP="00E743CD">
      <w:pPr>
        <w:spacing w:line="480" w:lineRule="auto"/>
        <w:ind w:firstLine="720"/>
        <w:rPr>
          <w:bCs/>
        </w:rPr>
      </w:pPr>
      <w:r>
        <w:rPr>
          <w:bCs/>
        </w:rPr>
        <w:t xml:space="preserve">Interesting differences arise by </w:t>
      </w:r>
      <w:r w:rsidR="00E021A3" w:rsidRPr="0045175D">
        <w:rPr>
          <w:bCs/>
        </w:rPr>
        <w:t>root</w:t>
      </w:r>
      <w:r w:rsidR="00C6162B">
        <w:rPr>
          <w:bCs/>
        </w:rPr>
        <w:t xml:space="preserve"> </w:t>
      </w:r>
      <w:r w:rsidR="00E021A3" w:rsidRPr="0045175D">
        <w:rPr>
          <w:bCs/>
        </w:rPr>
        <w:t>browse node</w:t>
      </w:r>
      <w:r w:rsidR="00EB5ED1">
        <w:rPr>
          <w:bCs/>
        </w:rPr>
        <w:t xml:space="preserve">. Figure 3 shows </w:t>
      </w:r>
      <w:r w:rsidR="00E021A3" w:rsidRPr="0045175D">
        <w:rPr>
          <w:bCs/>
        </w:rPr>
        <w:t>that</w:t>
      </w:r>
      <w:r w:rsidR="00EB5ED1">
        <w:rPr>
          <w:bCs/>
        </w:rPr>
        <w:t xml:space="preserve"> </w:t>
      </w:r>
      <w:r w:rsidR="0045175D">
        <w:rPr>
          <w:bCs/>
        </w:rPr>
        <w:t xml:space="preserve">DSP Display </w:t>
      </w:r>
      <w:r w:rsidR="00E5599A">
        <w:rPr>
          <w:bCs/>
        </w:rPr>
        <w:t>(</w:t>
      </w:r>
      <w:r w:rsidR="00E021A3" w:rsidRPr="0045175D">
        <w:rPr>
          <w:bCs/>
        </w:rPr>
        <w:t>Video</w:t>
      </w:r>
      <w:r w:rsidR="00E5599A">
        <w:rPr>
          <w:bCs/>
        </w:rPr>
        <w:t>)</w:t>
      </w:r>
      <w:r w:rsidR="00E021A3" w:rsidRPr="0045175D">
        <w:rPr>
          <w:bCs/>
        </w:rPr>
        <w:t xml:space="preserve"> </w:t>
      </w:r>
      <w:r w:rsidR="00E5599A">
        <w:rPr>
          <w:bCs/>
        </w:rPr>
        <w:t xml:space="preserve">and </w:t>
      </w:r>
      <w:r w:rsidR="00E5599A" w:rsidRPr="0045175D">
        <w:rPr>
          <w:bCs/>
        </w:rPr>
        <w:t>SB</w:t>
      </w:r>
      <w:r w:rsidR="00233F9A">
        <w:rPr>
          <w:bCs/>
        </w:rPr>
        <w:t xml:space="preserve"> </w:t>
      </w:r>
      <w:r w:rsidR="00E5599A">
        <w:rPr>
          <w:bCs/>
        </w:rPr>
        <w:t>(SBV)</w:t>
      </w:r>
      <w:r w:rsidR="00E5599A" w:rsidRPr="0045175D">
        <w:rPr>
          <w:bCs/>
        </w:rPr>
        <w:t xml:space="preserve"> </w:t>
      </w:r>
      <w:r w:rsidR="00E021A3" w:rsidRPr="0045175D">
        <w:rPr>
          <w:bCs/>
        </w:rPr>
        <w:t>ha</w:t>
      </w:r>
      <w:r w:rsidR="00E5599A">
        <w:rPr>
          <w:bCs/>
        </w:rPr>
        <w:t>ve</w:t>
      </w:r>
      <w:r w:rsidR="00E021A3" w:rsidRPr="0045175D">
        <w:rPr>
          <w:bCs/>
        </w:rPr>
        <w:t xml:space="preserve"> the highest efficacy on D</w:t>
      </w:r>
      <w:r w:rsidR="00EB5ED1">
        <w:rPr>
          <w:bCs/>
        </w:rPr>
        <w:t>etail Page Views</w:t>
      </w:r>
      <w:r w:rsidR="00E021A3" w:rsidRPr="0045175D">
        <w:rPr>
          <w:bCs/>
        </w:rPr>
        <w:t xml:space="preserve"> for </w:t>
      </w:r>
      <w:r w:rsidR="00E5599A">
        <w:rPr>
          <w:bCs/>
        </w:rPr>
        <w:t>Electronics,</w:t>
      </w:r>
      <w:r w:rsidR="00E021A3" w:rsidRPr="0045175D">
        <w:rPr>
          <w:bCs/>
        </w:rPr>
        <w:t xml:space="preserve"> whereas </w:t>
      </w:r>
      <w:r w:rsidR="00E5599A">
        <w:rPr>
          <w:bCs/>
        </w:rPr>
        <w:t>SD</w:t>
      </w:r>
      <w:r w:rsidR="00C200A0">
        <w:rPr>
          <w:bCs/>
        </w:rPr>
        <w:t xml:space="preserve"> </w:t>
      </w:r>
      <w:r w:rsidR="00C84B5E">
        <w:rPr>
          <w:bCs/>
        </w:rPr>
        <w:t>ha</w:t>
      </w:r>
      <w:r w:rsidR="00C200A0">
        <w:rPr>
          <w:bCs/>
        </w:rPr>
        <w:t xml:space="preserve">s </w:t>
      </w:r>
      <w:r w:rsidR="00C200A0" w:rsidRPr="0045175D">
        <w:rPr>
          <w:bCs/>
        </w:rPr>
        <w:t>the highe</w:t>
      </w:r>
      <w:r w:rsidR="00C200A0">
        <w:rPr>
          <w:bCs/>
        </w:rPr>
        <w:t>st</w:t>
      </w:r>
      <w:r w:rsidR="00C200A0" w:rsidRPr="0045175D">
        <w:rPr>
          <w:bCs/>
        </w:rPr>
        <w:t xml:space="preserve"> efficacy</w:t>
      </w:r>
      <w:r w:rsidR="00C84B5E">
        <w:rPr>
          <w:bCs/>
        </w:rPr>
        <w:t xml:space="preserve"> </w:t>
      </w:r>
      <w:r w:rsidR="00E5599A">
        <w:rPr>
          <w:bCs/>
        </w:rPr>
        <w:t>for Tools and Home Improvement</w:t>
      </w:r>
      <w:r w:rsidR="00E021A3" w:rsidRPr="0045175D">
        <w:rPr>
          <w:bCs/>
        </w:rPr>
        <w:t xml:space="preserve">. </w:t>
      </w:r>
      <w:r w:rsidR="00233F9A">
        <w:rPr>
          <w:bCs/>
        </w:rPr>
        <w:t xml:space="preserve">However, for revenue (Figure 4), both SB (SBV) and SD have the highest efficacy in Electronics, while DSP Display performs the best for Home and Kitchen. </w:t>
      </w:r>
    </w:p>
    <w:p w14:paraId="11ED0AE1" w14:textId="77777777" w:rsidR="00EB5ED1" w:rsidRDefault="00EB5ED1" w:rsidP="00E5599A">
      <w:pPr>
        <w:spacing w:line="480" w:lineRule="auto"/>
        <w:rPr>
          <w:bCs/>
        </w:rPr>
      </w:pPr>
    </w:p>
    <w:p w14:paraId="3F88F6B5" w14:textId="612F3F7C" w:rsidR="00947EF3" w:rsidRDefault="00947EF3" w:rsidP="00E5599A">
      <w:pPr>
        <w:spacing w:line="480" w:lineRule="auto"/>
        <w:rPr>
          <w:bCs/>
        </w:rPr>
      </w:pPr>
      <w:r>
        <w:rPr>
          <w:bCs/>
        </w:rPr>
        <w:t>Figure 3. Indexed Ad Efficacy on DPV by Browse Node</w:t>
      </w:r>
      <w:r w:rsidR="00233F9A">
        <w:rPr>
          <w:bCs/>
        </w:rPr>
        <w:t>*</w:t>
      </w:r>
      <w:r>
        <w:rPr>
          <w:bCs/>
        </w:rPr>
        <w:t xml:space="preserve"> </w:t>
      </w:r>
    </w:p>
    <w:p w14:paraId="0D29D18D" w14:textId="084B9A58" w:rsidR="00E021A3" w:rsidRPr="00C54BAA" w:rsidRDefault="00947EF3" w:rsidP="00E5599A">
      <w:pPr>
        <w:spacing w:line="480" w:lineRule="auto"/>
      </w:pPr>
      <w:r>
        <w:rPr>
          <w:bCs/>
          <w:noProof/>
        </w:rPr>
        <w:lastRenderedPageBreak/>
        <w:drawing>
          <wp:inline distT="0" distB="0" distL="0" distR="0" wp14:anchorId="573B0F8F" wp14:editId="0ADB5385">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021A3" w:rsidRPr="0045175D">
        <w:rPr>
          <w:bCs/>
        </w:rPr>
        <w:t xml:space="preserve"> </w:t>
      </w:r>
    </w:p>
    <w:p w14:paraId="0B150FA2" w14:textId="048731F9" w:rsidR="00233F9A" w:rsidRPr="009D37E6" w:rsidRDefault="00233F9A" w:rsidP="00233F9A">
      <w:pPr>
        <w:spacing w:line="480" w:lineRule="auto"/>
        <w:rPr>
          <w:i/>
          <w:iCs/>
        </w:rPr>
      </w:pPr>
      <w:r w:rsidRPr="009D37E6">
        <w:rPr>
          <w:i/>
          <w:iCs/>
        </w:rPr>
        <w:t xml:space="preserve">* Bar height indicates average </w:t>
      </w:r>
      <w:r>
        <w:rPr>
          <w:i/>
          <w:iCs/>
        </w:rPr>
        <w:t xml:space="preserve">value </w:t>
      </w:r>
      <w:r w:rsidRPr="009D37E6">
        <w:rPr>
          <w:i/>
          <w:iCs/>
        </w:rPr>
        <w:t>across all brands,</w:t>
      </w:r>
      <w:r>
        <w:rPr>
          <w:i/>
          <w:iCs/>
        </w:rPr>
        <w:t xml:space="preserve"> with SP as benchmark equal to 1.</w:t>
      </w:r>
    </w:p>
    <w:p w14:paraId="25F11D82" w14:textId="46208462" w:rsidR="00233F9A" w:rsidRDefault="00233F9A" w:rsidP="00ED6D84">
      <w:pPr>
        <w:spacing w:line="480" w:lineRule="auto"/>
      </w:pPr>
    </w:p>
    <w:p w14:paraId="1DD89E42" w14:textId="77777777" w:rsidR="00233F9A" w:rsidRDefault="00233F9A" w:rsidP="00233F9A">
      <w:pPr>
        <w:spacing w:line="480" w:lineRule="auto"/>
        <w:rPr>
          <w:bCs/>
        </w:rPr>
      </w:pPr>
      <w:r>
        <w:rPr>
          <w:bCs/>
        </w:rPr>
        <w:t xml:space="preserve">Figure 4. Indexed Ad Efficacy on Revenue by Browse Node </w:t>
      </w:r>
    </w:p>
    <w:p w14:paraId="1A3C19A1" w14:textId="77777777" w:rsidR="00233F9A" w:rsidRPr="00C54BAA" w:rsidRDefault="00233F9A" w:rsidP="00233F9A">
      <w:pPr>
        <w:spacing w:line="480" w:lineRule="auto"/>
      </w:pPr>
      <w:r>
        <w:rPr>
          <w:bCs/>
          <w:noProof/>
        </w:rPr>
        <w:drawing>
          <wp:inline distT="0" distB="0" distL="0" distR="0" wp14:anchorId="0EAFEC30" wp14:editId="0E04B7D8">
            <wp:extent cx="5486400" cy="32004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FBE0BF" w14:textId="77777777" w:rsidR="00233F9A" w:rsidRPr="009D37E6" w:rsidRDefault="00233F9A" w:rsidP="00233F9A">
      <w:pPr>
        <w:spacing w:line="480" w:lineRule="auto"/>
        <w:rPr>
          <w:i/>
          <w:iCs/>
        </w:rPr>
      </w:pPr>
      <w:r w:rsidRPr="009D37E6">
        <w:rPr>
          <w:i/>
          <w:iCs/>
        </w:rPr>
        <w:t xml:space="preserve">* Bar height indicates average </w:t>
      </w:r>
      <w:r>
        <w:rPr>
          <w:i/>
          <w:iCs/>
        </w:rPr>
        <w:t xml:space="preserve">value </w:t>
      </w:r>
      <w:r w:rsidRPr="009D37E6">
        <w:rPr>
          <w:i/>
          <w:iCs/>
        </w:rPr>
        <w:t>across all brands,</w:t>
      </w:r>
      <w:r>
        <w:rPr>
          <w:i/>
          <w:iCs/>
        </w:rPr>
        <w:t xml:space="preserve"> with SP as benchmark equal to 1.</w:t>
      </w:r>
    </w:p>
    <w:p w14:paraId="7DEB7023" w14:textId="4317EA8B" w:rsidR="004842B3" w:rsidRDefault="00EB5ED1" w:rsidP="00E743CD">
      <w:pPr>
        <w:spacing w:line="480" w:lineRule="auto"/>
        <w:ind w:firstLine="720"/>
      </w:pPr>
      <w:r>
        <w:lastRenderedPageBreak/>
        <w:t xml:space="preserve">We note the contrast between consideration versus conversion </w:t>
      </w:r>
      <w:r w:rsidR="008E07DF">
        <w:t xml:space="preserve">goals </w:t>
      </w:r>
      <w:r>
        <w:t xml:space="preserve">for </w:t>
      </w:r>
      <w:r w:rsidR="008E07DF">
        <w:t xml:space="preserve">SD and </w:t>
      </w:r>
      <w:r>
        <w:t>DSP Display (Video)</w:t>
      </w:r>
      <w:r w:rsidR="008E07DF">
        <w:t xml:space="preserve">, consistent with the upper funnel nature of these ad products. </w:t>
      </w:r>
      <w:r w:rsidR="00233F9A">
        <w:t>Specifically, i</w:t>
      </w:r>
      <w:r w:rsidR="008E07DF">
        <w:t xml:space="preserve">n Tools and Home Improvement, SD performance is about 8x higher than SP for consideration, but only twice as high for revenue. In Electronics, DSP Display (Video) performance is 4x that of SP, but it is </w:t>
      </w:r>
      <w:r w:rsidR="00C200A0">
        <w:t>at par with</w:t>
      </w:r>
      <w:r w:rsidR="008E07DF">
        <w:t xml:space="preserve"> SP as a revenue generator. In contrast, DSP Display (Video) compares favorably to SP in revenue impact for Tools and Home Improvement and for Home and Kitchen. </w:t>
      </w:r>
      <w:r w:rsidR="00ED6D84">
        <w:t>We speculate that video is especially effective for helping consumers choose among such experience products</w:t>
      </w:r>
      <w:r w:rsidR="00ED6D84" w:rsidRPr="00C8765F">
        <w:rPr>
          <w:vertAlign w:val="superscript"/>
        </w:rPr>
        <w:t>8</w:t>
      </w:r>
      <w:r w:rsidR="00ED6D84">
        <w:t xml:space="preserve">, </w:t>
      </w:r>
      <w:r w:rsidR="004842B3">
        <w:t xml:space="preserve">where </w:t>
      </w:r>
      <w:r w:rsidR="00ED6D84">
        <w:t xml:space="preserve">they can </w:t>
      </w:r>
      <w:r w:rsidR="004842B3">
        <w:t>access dynamic demonstration of the focal products. This offers a much more engaging experience than search ads with</w:t>
      </w:r>
      <w:r w:rsidR="00ED6D84">
        <w:t xml:space="preserve"> </w:t>
      </w:r>
      <w:r w:rsidR="004842B3">
        <w:t xml:space="preserve">only </w:t>
      </w:r>
      <w:r w:rsidR="00ED6D84">
        <w:t>textual information.</w:t>
      </w:r>
      <w:r w:rsidR="00532199">
        <w:t xml:space="preserve"> </w:t>
      </w:r>
      <w:r w:rsidR="00C26650">
        <w:t xml:space="preserve">As search ads (e.g., SP) appear on search results and close to conversion, it is not surprising the disparity in efficacies are smaller in revenue than DPV. </w:t>
      </w:r>
      <w:r w:rsidR="00532199">
        <w:t>Thus, the effectiveness of ad products depends on both the advertising goal and the nature of the product category.</w:t>
      </w:r>
    </w:p>
    <w:p w14:paraId="2D080EEC" w14:textId="3C7EB8C4" w:rsidR="00E021A3" w:rsidRDefault="00C54BAA" w:rsidP="00E743CD">
      <w:pPr>
        <w:spacing w:line="480" w:lineRule="auto"/>
        <w:ind w:firstLine="720"/>
        <w:rPr>
          <w:bCs/>
        </w:rPr>
      </w:pPr>
      <w:r>
        <w:t>Finally, the importance of seasonality</w:t>
      </w:r>
      <w:r w:rsidR="00E021A3" w:rsidRPr="00C54BAA">
        <w:rPr>
          <w:b/>
          <w:bCs/>
        </w:rPr>
        <w:t xml:space="preserve"> </w:t>
      </w:r>
      <w:r w:rsidR="00532199" w:rsidRPr="00C8765F">
        <w:t>also</w:t>
      </w:r>
      <w:r w:rsidR="00532199">
        <w:rPr>
          <w:b/>
          <w:bCs/>
        </w:rPr>
        <w:t xml:space="preserve"> </w:t>
      </w:r>
      <w:r w:rsidR="00E021A3" w:rsidRPr="00C8765F">
        <w:t>differs by root browse node, with the highest from Tools &amp; Home Improvement, and the lowest from Home &amp; Kitchen</w:t>
      </w:r>
      <w:r w:rsidR="00154532" w:rsidRPr="00C8765F">
        <w:t>.</w:t>
      </w:r>
      <w:r w:rsidR="00E021A3" w:rsidRPr="00C8765F">
        <w:t xml:space="preserve"> </w:t>
      </w:r>
      <w:r w:rsidR="00536FA6">
        <w:t xml:space="preserve">Figure 5 shows that, on average, </w:t>
      </w:r>
      <w:r w:rsidR="00E021A3" w:rsidRPr="00C54BAA">
        <w:rPr>
          <w:bCs/>
        </w:rPr>
        <w:t xml:space="preserve">Tools &amp; Home Improvement has the highest seasonality at 10%, whereas Home &amp; Kitchen has the lowest at 6%. </w:t>
      </w:r>
      <w:r w:rsidR="000419CC">
        <w:rPr>
          <w:bCs/>
        </w:rPr>
        <w:t xml:space="preserve">Similar results appear for Detail Page Views. </w:t>
      </w:r>
    </w:p>
    <w:p w14:paraId="5C6CB758" w14:textId="77777777" w:rsidR="00C8765F" w:rsidRDefault="00C8765F" w:rsidP="00C8765F">
      <w:pPr>
        <w:spacing w:line="480" w:lineRule="auto"/>
        <w:rPr>
          <w:bCs/>
        </w:rPr>
      </w:pPr>
    </w:p>
    <w:p w14:paraId="27673DAB" w14:textId="4546AD0C" w:rsidR="00C54BAA" w:rsidRPr="00C54BAA" w:rsidRDefault="00C54BAA" w:rsidP="00E743CD">
      <w:pPr>
        <w:spacing w:line="480" w:lineRule="auto"/>
      </w:pPr>
      <w:r>
        <w:rPr>
          <w:bCs/>
        </w:rPr>
        <w:t xml:space="preserve">Figure </w:t>
      </w:r>
      <w:r w:rsidR="00947EF3">
        <w:rPr>
          <w:bCs/>
        </w:rPr>
        <w:t xml:space="preserve">5. Percentage of Seasonality </w:t>
      </w:r>
      <w:r w:rsidR="00C8765F">
        <w:rPr>
          <w:bCs/>
        </w:rPr>
        <w:t xml:space="preserve">in </w:t>
      </w:r>
      <w:r w:rsidR="000419CC">
        <w:rPr>
          <w:bCs/>
        </w:rPr>
        <w:t xml:space="preserve">Revenue </w:t>
      </w:r>
      <w:r w:rsidR="00C8765F">
        <w:rPr>
          <w:bCs/>
        </w:rPr>
        <w:t xml:space="preserve">Variance Explanation </w:t>
      </w:r>
      <w:r w:rsidR="00947EF3">
        <w:rPr>
          <w:bCs/>
        </w:rPr>
        <w:t xml:space="preserve">by Browse Node </w:t>
      </w:r>
    </w:p>
    <w:p w14:paraId="29314914" w14:textId="77777777" w:rsidR="00E021A3" w:rsidRPr="00AF3F05" w:rsidRDefault="00E021A3" w:rsidP="00AA5E26">
      <w:pPr>
        <w:spacing w:line="480" w:lineRule="auto"/>
      </w:pPr>
      <w:r w:rsidRPr="00E021A3">
        <w:rPr>
          <w:noProof/>
        </w:rPr>
        <w:lastRenderedPageBreak/>
        <w:drawing>
          <wp:inline distT="0" distB="0" distL="0" distR="0" wp14:anchorId="0A2CE6B3" wp14:editId="3EB3B3E9">
            <wp:extent cx="6094504" cy="2895600"/>
            <wp:effectExtent l="0" t="0" r="1460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263EDF" w14:textId="341964CF" w:rsidR="000419CC" w:rsidRDefault="000419CC" w:rsidP="000419CC">
      <w:pPr>
        <w:spacing w:line="480" w:lineRule="auto"/>
        <w:ind w:firstLine="360"/>
        <w:rPr>
          <w:bCs/>
        </w:rPr>
      </w:pPr>
      <w:r w:rsidRPr="00C54BAA">
        <w:rPr>
          <w:bCs/>
        </w:rPr>
        <w:t xml:space="preserve">A higher percentage of seasonality highlights the importance of </w:t>
      </w:r>
      <w:r>
        <w:rPr>
          <w:bCs/>
        </w:rPr>
        <w:t>accounting for seasonality when</w:t>
      </w:r>
      <w:r w:rsidRPr="00C54BAA">
        <w:rPr>
          <w:bCs/>
        </w:rPr>
        <w:t xml:space="preserve"> evaluating ad effectiveness. Furthermore, </w:t>
      </w:r>
      <w:r>
        <w:rPr>
          <w:bCs/>
        </w:rPr>
        <w:t>the presences</w:t>
      </w:r>
      <w:r w:rsidRPr="00C54BAA">
        <w:rPr>
          <w:bCs/>
        </w:rPr>
        <w:t xml:space="preserve"> of seasonality also </w:t>
      </w:r>
      <w:r w:rsidR="004842B3">
        <w:rPr>
          <w:bCs/>
        </w:rPr>
        <w:t>suggest that</w:t>
      </w:r>
      <w:r>
        <w:rPr>
          <w:bCs/>
        </w:rPr>
        <w:t xml:space="preserve"> </w:t>
      </w:r>
      <w:r w:rsidRPr="00C54BAA">
        <w:rPr>
          <w:bCs/>
        </w:rPr>
        <w:t>brands</w:t>
      </w:r>
      <w:r>
        <w:rPr>
          <w:bCs/>
        </w:rPr>
        <w:t xml:space="preserve"> can </w:t>
      </w:r>
      <w:r w:rsidRPr="00C54BAA">
        <w:rPr>
          <w:bCs/>
        </w:rPr>
        <w:t xml:space="preserve">tailor </w:t>
      </w:r>
      <w:r>
        <w:rPr>
          <w:bCs/>
        </w:rPr>
        <w:t xml:space="preserve">their </w:t>
      </w:r>
      <w:r w:rsidRPr="00C54BAA">
        <w:rPr>
          <w:bCs/>
        </w:rPr>
        <w:t>marketing strategy</w:t>
      </w:r>
      <w:r>
        <w:rPr>
          <w:bCs/>
        </w:rPr>
        <w:t xml:space="preserve"> to the season</w:t>
      </w:r>
      <w:r w:rsidRPr="00C54BAA">
        <w:rPr>
          <w:bCs/>
        </w:rPr>
        <w:t xml:space="preserve">. For example, brands could utilize key seasonal shopping moments by doubling down on ad investment, and </w:t>
      </w:r>
      <w:r>
        <w:rPr>
          <w:bCs/>
        </w:rPr>
        <w:t xml:space="preserve">continue with an </w:t>
      </w:r>
      <w:r w:rsidRPr="00C54BAA">
        <w:rPr>
          <w:bCs/>
        </w:rPr>
        <w:t xml:space="preserve">ever-green </w:t>
      </w:r>
      <w:r>
        <w:rPr>
          <w:bCs/>
        </w:rPr>
        <w:t xml:space="preserve">in low seasons </w:t>
      </w:r>
      <w:r w:rsidRPr="00C54BAA">
        <w:rPr>
          <w:bCs/>
        </w:rPr>
        <w:t>to maintain momentum</w:t>
      </w:r>
      <w:r w:rsidRPr="00C8765F">
        <w:rPr>
          <w:bCs/>
          <w:vertAlign w:val="superscript"/>
        </w:rPr>
        <w:t>9</w:t>
      </w:r>
      <w:r w:rsidRPr="00C54BAA">
        <w:rPr>
          <w:bCs/>
        </w:rPr>
        <w:t xml:space="preserve">. </w:t>
      </w:r>
    </w:p>
    <w:p w14:paraId="7753B5F8" w14:textId="30159D7D" w:rsidR="00947EF3" w:rsidRDefault="00947EF3" w:rsidP="001C7F34">
      <w:pPr>
        <w:spacing w:line="480" w:lineRule="auto"/>
        <w:jc w:val="both"/>
        <w:rPr>
          <w:bCs/>
        </w:rPr>
      </w:pPr>
    </w:p>
    <w:p w14:paraId="48479302" w14:textId="5C5313E1" w:rsidR="00B33E1A" w:rsidRPr="00E743CD" w:rsidRDefault="00B33E1A" w:rsidP="001C7F34">
      <w:pPr>
        <w:spacing w:line="480" w:lineRule="auto"/>
        <w:jc w:val="both"/>
        <w:rPr>
          <w:b/>
        </w:rPr>
      </w:pPr>
      <w:r w:rsidRPr="00E743CD">
        <w:rPr>
          <w:b/>
        </w:rPr>
        <w:t>CONCLUSION</w:t>
      </w:r>
    </w:p>
    <w:p w14:paraId="0D6A287E" w14:textId="50CB8BE6" w:rsidR="00B33E1A" w:rsidRPr="00E021A3" w:rsidRDefault="00B33E1A" w:rsidP="00C8765F">
      <w:pPr>
        <w:spacing w:line="480" w:lineRule="auto"/>
        <w:ind w:firstLine="720"/>
      </w:pPr>
      <w:r w:rsidRPr="00E021A3">
        <w:t>With a SARIMAX model</w:t>
      </w:r>
      <w:r>
        <w:t xml:space="preserve">, </w:t>
      </w:r>
      <w:r w:rsidRPr="00E021A3">
        <w:t xml:space="preserve">we are able to test the relative effectiveness of ads based on the advertising portfolio </w:t>
      </w:r>
      <w:r w:rsidR="00C200A0">
        <w:t xml:space="preserve">leveraged by </w:t>
      </w:r>
      <w:r w:rsidRPr="00E021A3">
        <w:t xml:space="preserve">brands. Although Amazon Ads offer a variety of ad products across search, </w:t>
      </w:r>
      <w:r w:rsidR="004842B3">
        <w:t xml:space="preserve">DSP </w:t>
      </w:r>
      <w:r w:rsidRPr="00E021A3">
        <w:t xml:space="preserve">display, video, and </w:t>
      </w:r>
      <w:r>
        <w:t>S</w:t>
      </w:r>
      <w:r w:rsidRPr="00E021A3">
        <w:t xml:space="preserve">treaming TV </w:t>
      </w:r>
      <w:r>
        <w:t>Video</w:t>
      </w:r>
      <w:r w:rsidRPr="00E021A3">
        <w:t xml:space="preserve">, </w:t>
      </w:r>
      <w:r w:rsidR="004842B3">
        <w:t>internal analysis shows that 8</w:t>
      </w:r>
      <w:r w:rsidRPr="00E021A3">
        <w:t xml:space="preserve"> out of 10 CPG and Softlines brands invest only in Sponsored Products</w:t>
      </w:r>
      <w:r>
        <w:t xml:space="preserve">. </w:t>
      </w:r>
      <w:r w:rsidR="00C200A0">
        <w:t>For</w:t>
      </w:r>
      <w:r w:rsidR="00C200A0" w:rsidRPr="00E021A3">
        <w:t xml:space="preserve"> </w:t>
      </w:r>
      <w:r w:rsidRPr="00E021A3">
        <w:t>fifteen brands included in the current study, we consistently see the significant impact com</w:t>
      </w:r>
      <w:r w:rsidR="00C200A0">
        <w:t>ing</w:t>
      </w:r>
      <w:r w:rsidRPr="00E021A3">
        <w:t xml:space="preserve"> not only from Sponsored Products, but also from other Sponsored ads (i.e., Sponsored Brand</w:t>
      </w:r>
      <w:r w:rsidR="004842B3">
        <w:t xml:space="preserve">s, Sponsored Brand Video </w:t>
      </w:r>
      <w:r w:rsidRPr="00E021A3">
        <w:t xml:space="preserve">and Sponsored Display), DSP Display, and STV. The relative effectiveness of each depends on </w:t>
      </w:r>
      <w:r w:rsidR="00C8765F">
        <w:t xml:space="preserve">both advertising goal (consideration vs conversion) and </w:t>
      </w:r>
      <w:r w:rsidRPr="00E021A3">
        <w:t>product catego</w:t>
      </w:r>
      <w:r w:rsidR="00C8765F">
        <w:t>ry</w:t>
      </w:r>
      <w:r w:rsidRPr="00E021A3">
        <w:t xml:space="preserve">. </w:t>
      </w:r>
      <w:r w:rsidRPr="00E021A3">
        <w:lastRenderedPageBreak/>
        <w:t xml:space="preserve">Furthermore, </w:t>
      </w:r>
      <w:r w:rsidR="00C8765F">
        <w:t xml:space="preserve">the importance of seasonality ranges from 6% to 10% across product categories, </w:t>
      </w:r>
      <w:r w:rsidRPr="00E021A3">
        <w:t>un</w:t>
      </w:r>
      <w:r w:rsidR="00C8765F">
        <w:t>derscoring</w:t>
      </w:r>
      <w:r w:rsidRPr="00E021A3">
        <w:t xml:space="preserve"> the importance of accounting for seasonality when measuring ad effectiveness.</w:t>
      </w:r>
    </w:p>
    <w:p w14:paraId="117AE0BE" w14:textId="3F434004" w:rsidR="00AF37E2" w:rsidRDefault="00B33E1A" w:rsidP="00C8765F">
      <w:pPr>
        <w:spacing w:line="480" w:lineRule="auto"/>
        <w:ind w:firstLine="720"/>
      </w:pPr>
      <w:r>
        <w:t>This research has several limitations that suggest areas for future research. First, the 1</w:t>
      </w:r>
      <w:r w:rsidR="00C8765F">
        <w:t>5</w:t>
      </w:r>
      <w:r>
        <w:t xml:space="preserve"> brands were studied because </w:t>
      </w:r>
      <w:r w:rsidR="004842B3">
        <w:t>of requests from both Amazon Ads media managers and respective brand managers</w:t>
      </w:r>
      <w:r>
        <w:t>. Each brand has at least one year of ad spend and KPI at daily grain so that the seasonality effect could be measured. Future research would ideally include a random selection of brands</w:t>
      </w:r>
      <w:r w:rsidR="00B11860">
        <w:t xml:space="preserve"> with a larger sample across more product categories</w:t>
      </w:r>
      <w:r>
        <w:t>. Second, research is needed in non-Amazon setting</w:t>
      </w:r>
      <w:r w:rsidR="00AF37E2">
        <w:t xml:space="preserve">s and in other </w:t>
      </w:r>
      <w:r>
        <w:t>countries and categories</w:t>
      </w:r>
      <w:r w:rsidRPr="00E021A3">
        <w:t>.  We encourage future replications primarily for two reasons: first, both commonality and differences in the patterns could inform us how to serve consumers in a specific product category better with more tailored ad recommendation; second, academic literature also shows shoppers’ reactions to ads can change depend</w:t>
      </w:r>
      <w:r w:rsidR="00A07F4E">
        <w:t>ing</w:t>
      </w:r>
      <w:r w:rsidRPr="00E021A3">
        <w:t xml:space="preserve"> on macro factors such as cultural settings</w:t>
      </w:r>
      <w:r w:rsidR="00AF37E2" w:rsidRPr="009D37E6">
        <w:rPr>
          <w:vertAlign w:val="superscript"/>
        </w:rPr>
        <w:t>10</w:t>
      </w:r>
      <w:r w:rsidR="00AF37E2">
        <w:t xml:space="preserve">, </w:t>
      </w:r>
      <w:r w:rsidRPr="00E021A3">
        <w:t>ad platforms</w:t>
      </w:r>
      <w:r w:rsidR="00AF37E2" w:rsidRPr="009D37E6">
        <w:rPr>
          <w:vertAlign w:val="superscript"/>
        </w:rPr>
        <w:t>11</w:t>
      </w:r>
      <w:r w:rsidRPr="00E021A3">
        <w:t>, and individual context such as device</w:t>
      </w:r>
      <w:r w:rsidR="00AF37E2" w:rsidRPr="009D37E6">
        <w:rPr>
          <w:vertAlign w:val="superscript"/>
        </w:rPr>
        <w:t>12</w:t>
      </w:r>
      <w:r w:rsidR="00AF37E2">
        <w:t xml:space="preserve">. Finally, future research should explicitly test that marketing effectiveness differs across seasons, so that peak and maintenance budgets can be optimized. </w:t>
      </w:r>
    </w:p>
    <w:p w14:paraId="5CE07D16" w14:textId="6AFB4652" w:rsidR="00B33E1A" w:rsidRPr="00E021A3" w:rsidRDefault="009D37E6" w:rsidP="00C8765F">
      <w:pPr>
        <w:spacing w:line="480" w:lineRule="auto"/>
        <w:ind w:firstLine="720"/>
      </w:pPr>
      <w:r>
        <w:t>In sum, we learned that upper funnel marketing effectiveness can be higher than lower funnel marketing effectiveness for 15 brands across US consumer durable categories on Amazon.com. W</w:t>
      </w:r>
      <w:r w:rsidR="00B33E1A" w:rsidRPr="00E021A3">
        <w:t xml:space="preserve">e recommend </w:t>
      </w:r>
      <w:r>
        <w:t xml:space="preserve">brands to explore these opportunities and adopt </w:t>
      </w:r>
      <w:r w:rsidR="00B33E1A" w:rsidRPr="00E021A3">
        <w:t xml:space="preserve">a test-and-learn approach for verticals/locales not covered in </w:t>
      </w:r>
      <w:r>
        <w:t xml:space="preserve">the </w:t>
      </w:r>
      <w:r w:rsidR="00B33E1A" w:rsidRPr="00E021A3">
        <w:t xml:space="preserve">current study. </w:t>
      </w:r>
    </w:p>
    <w:p w14:paraId="763262D4" w14:textId="77777777" w:rsidR="00415775" w:rsidRDefault="00415775" w:rsidP="001C7F34">
      <w:pPr>
        <w:spacing w:line="480" w:lineRule="auto"/>
        <w:jc w:val="both"/>
        <w:rPr>
          <w:bCs/>
        </w:rPr>
      </w:pPr>
    </w:p>
    <w:p w14:paraId="7F80D3D9" w14:textId="20FCE558" w:rsidR="009D37E6" w:rsidRDefault="009D37E6" w:rsidP="00AF37E2">
      <w:pPr>
        <w:spacing w:line="480" w:lineRule="auto"/>
      </w:pPr>
    </w:p>
    <w:p w14:paraId="20F717D2" w14:textId="77777777" w:rsidR="009D37E6" w:rsidRDefault="009D37E6">
      <w:r>
        <w:br w:type="page"/>
      </w:r>
    </w:p>
    <w:p w14:paraId="091073E5" w14:textId="749EB1E0" w:rsidR="00C8765F" w:rsidRPr="00E270F2" w:rsidRDefault="00E021A3" w:rsidP="00E743CD">
      <w:pPr>
        <w:spacing w:line="480" w:lineRule="auto"/>
        <w:rPr>
          <w:rStyle w:val="IntenseReference"/>
          <w:color w:val="000000" w:themeColor="text1"/>
        </w:rPr>
      </w:pPr>
      <w:bookmarkStart w:id="0" w:name="_Hlk84950982"/>
      <w:r w:rsidRPr="00C8765F">
        <w:rPr>
          <w:rStyle w:val="IntenseReference"/>
          <w:color w:val="000000" w:themeColor="text1"/>
        </w:rPr>
        <w:lastRenderedPageBreak/>
        <w:t>references</w:t>
      </w:r>
      <w:bookmarkEnd w:id="0"/>
    </w:p>
    <w:p w14:paraId="03A92BC4" w14:textId="5C17709E" w:rsidR="00812FDC" w:rsidRPr="00E743CD" w:rsidRDefault="00812FDC" w:rsidP="00C8765F">
      <w:pPr>
        <w:pStyle w:val="ListParagraph"/>
        <w:numPr>
          <w:ilvl w:val="0"/>
          <w:numId w:val="4"/>
        </w:numPr>
        <w:rPr>
          <w:rFonts w:ascii="Times New Roman" w:hAnsi="Times New Roman" w:cs="Times New Roman"/>
          <w:smallCaps/>
          <w:color w:val="000000" w:themeColor="text1"/>
          <w:spacing w:val="5"/>
          <w:sz w:val="24"/>
          <w:szCs w:val="24"/>
        </w:rPr>
      </w:pPr>
      <w:r w:rsidRPr="00E743CD">
        <w:rPr>
          <w:rFonts w:ascii="Times New Roman" w:hAnsi="Times New Roman" w:cs="Times New Roman"/>
          <w:color w:val="000000" w:themeColor="text1"/>
          <w:sz w:val="24"/>
          <w:szCs w:val="24"/>
          <w:shd w:val="clear" w:color="auto" w:fill="FFFFFF"/>
        </w:rPr>
        <w:t>Olssen, J</w:t>
      </w:r>
      <w:r w:rsidR="00197F62" w:rsidRPr="00E743CD">
        <w:rPr>
          <w:rFonts w:ascii="Times New Roman" w:hAnsi="Times New Roman" w:cs="Times New Roman"/>
          <w:color w:val="000000" w:themeColor="text1"/>
          <w:sz w:val="24"/>
          <w:szCs w:val="24"/>
          <w:shd w:val="clear" w:color="auto" w:fill="FFFFFF"/>
        </w:rPr>
        <w:t>.</w:t>
      </w:r>
      <w:r w:rsidRPr="00E743CD">
        <w:rPr>
          <w:rFonts w:ascii="Times New Roman" w:hAnsi="Times New Roman" w:cs="Times New Roman"/>
          <w:color w:val="000000" w:themeColor="text1"/>
          <w:sz w:val="24"/>
          <w:szCs w:val="24"/>
          <w:shd w:val="clear" w:color="auto" w:fill="FFFFFF"/>
        </w:rPr>
        <w:t xml:space="preserve"> (2022) “What is ROAS?”, </w:t>
      </w:r>
      <w:r w:rsidRPr="00E743CD">
        <w:rPr>
          <w:rFonts w:ascii="Times New Roman" w:hAnsi="Times New Roman" w:cs="Times New Roman"/>
          <w:i/>
          <w:iCs/>
          <w:color w:val="000000" w:themeColor="text1"/>
          <w:sz w:val="24"/>
          <w:szCs w:val="24"/>
          <w:shd w:val="clear" w:color="auto" w:fill="FFFFFF"/>
        </w:rPr>
        <w:t>Match2one</w:t>
      </w:r>
      <w:r w:rsidRPr="00E743CD">
        <w:rPr>
          <w:rFonts w:ascii="Times New Roman" w:hAnsi="Times New Roman" w:cs="Times New Roman"/>
          <w:color w:val="000000" w:themeColor="text1"/>
          <w:sz w:val="24"/>
          <w:szCs w:val="24"/>
          <w:shd w:val="clear" w:color="auto" w:fill="FFFFFF"/>
        </w:rPr>
        <w:t>, May 17</w:t>
      </w:r>
      <w:r w:rsidRPr="00E743CD">
        <w:rPr>
          <w:rFonts w:ascii="Times New Roman" w:hAnsi="Times New Roman" w:cs="Times New Roman"/>
          <w:color w:val="000000" w:themeColor="text1"/>
          <w:sz w:val="24"/>
          <w:szCs w:val="24"/>
          <w:shd w:val="clear" w:color="auto" w:fill="FFFFFF"/>
          <w:vertAlign w:val="superscript"/>
        </w:rPr>
        <w:t>th</w:t>
      </w:r>
      <w:r w:rsidRPr="00E743CD">
        <w:rPr>
          <w:rFonts w:ascii="Times New Roman" w:hAnsi="Times New Roman" w:cs="Times New Roman"/>
          <w:color w:val="000000" w:themeColor="text1"/>
          <w:sz w:val="24"/>
          <w:szCs w:val="24"/>
          <w:shd w:val="clear" w:color="auto" w:fill="FFFFFF"/>
        </w:rPr>
        <w:t xml:space="preserve">, </w:t>
      </w:r>
      <w:hyperlink r:id="rId14" w:history="1">
        <w:r w:rsidR="00197F62" w:rsidRPr="00E743CD">
          <w:rPr>
            <w:rStyle w:val="Hyperlink"/>
            <w:rFonts w:ascii="Times New Roman" w:hAnsi="Times New Roman" w:cs="Times New Roman"/>
            <w:color w:val="000000" w:themeColor="text1"/>
            <w:sz w:val="24"/>
            <w:szCs w:val="24"/>
            <w:shd w:val="clear" w:color="auto" w:fill="FFFFFF"/>
          </w:rPr>
          <w:t>https://www.match2one.com/blog/what-is-roas/</w:t>
        </w:r>
      </w:hyperlink>
    </w:p>
    <w:p w14:paraId="22BD37F7" w14:textId="50DEC98A" w:rsidR="00197F62" w:rsidRPr="00E743CD" w:rsidRDefault="00197F62" w:rsidP="00197F62">
      <w:pPr>
        <w:pStyle w:val="ListParagraph"/>
        <w:numPr>
          <w:ilvl w:val="0"/>
          <w:numId w:val="4"/>
        </w:numPr>
        <w:rPr>
          <w:rFonts w:ascii="Times New Roman" w:eastAsia="Times New Roman" w:hAnsi="Times New Roman" w:cs="Times New Roman"/>
          <w:color w:val="000000" w:themeColor="text1"/>
          <w:sz w:val="24"/>
          <w:szCs w:val="24"/>
        </w:rPr>
      </w:pPr>
      <w:r w:rsidRPr="00E743CD">
        <w:rPr>
          <w:rFonts w:ascii="Times New Roman" w:eastAsia="Times New Roman" w:hAnsi="Times New Roman" w:cs="Times New Roman"/>
          <w:color w:val="000000" w:themeColor="text1"/>
          <w:sz w:val="24"/>
          <w:szCs w:val="24"/>
          <w:shd w:val="clear" w:color="auto" w:fill="FFFFFF"/>
        </w:rPr>
        <w:t>Reimer, K., Rutz, O. J., &amp; Pauwels, K. (2014). How online consumer segments differ in long-term marketing effectiveness. </w:t>
      </w:r>
      <w:r w:rsidRPr="00E743CD">
        <w:rPr>
          <w:rFonts w:ascii="Times New Roman" w:eastAsia="Times New Roman" w:hAnsi="Times New Roman" w:cs="Times New Roman"/>
          <w:i/>
          <w:iCs/>
          <w:color w:val="000000" w:themeColor="text1"/>
          <w:sz w:val="24"/>
          <w:szCs w:val="24"/>
        </w:rPr>
        <w:t>Journal of Interactive Marketing</w:t>
      </w:r>
      <w:r w:rsidRPr="00E743CD">
        <w:rPr>
          <w:rFonts w:ascii="Times New Roman" w:eastAsia="Times New Roman" w:hAnsi="Times New Roman" w:cs="Times New Roman"/>
          <w:color w:val="000000" w:themeColor="text1"/>
          <w:sz w:val="24"/>
          <w:szCs w:val="24"/>
          <w:shd w:val="clear" w:color="auto" w:fill="FFFFFF"/>
        </w:rPr>
        <w:t>, </w:t>
      </w:r>
      <w:r w:rsidRPr="00E743CD">
        <w:rPr>
          <w:rFonts w:ascii="Times New Roman" w:eastAsia="Times New Roman" w:hAnsi="Times New Roman" w:cs="Times New Roman"/>
          <w:i/>
          <w:iCs/>
          <w:color w:val="000000" w:themeColor="text1"/>
          <w:sz w:val="24"/>
          <w:szCs w:val="24"/>
        </w:rPr>
        <w:t>28</w:t>
      </w:r>
      <w:r w:rsidRPr="00E743CD">
        <w:rPr>
          <w:rFonts w:ascii="Times New Roman" w:eastAsia="Times New Roman" w:hAnsi="Times New Roman" w:cs="Times New Roman"/>
          <w:color w:val="000000" w:themeColor="text1"/>
          <w:sz w:val="24"/>
          <w:szCs w:val="24"/>
          <w:shd w:val="clear" w:color="auto" w:fill="FFFFFF"/>
        </w:rPr>
        <w:t>(4), 271-284.</w:t>
      </w:r>
    </w:p>
    <w:p w14:paraId="0DE69BD0" w14:textId="1FC8C0B6" w:rsidR="00C6162B" w:rsidRPr="00E270F2" w:rsidRDefault="00C6162B" w:rsidP="00197F62">
      <w:pPr>
        <w:pStyle w:val="ListParagraph"/>
        <w:numPr>
          <w:ilvl w:val="0"/>
          <w:numId w:val="4"/>
        </w:numPr>
        <w:rPr>
          <w:rFonts w:ascii="Times New Roman" w:eastAsia="Times New Roman" w:hAnsi="Times New Roman" w:cs="Times New Roman"/>
          <w:sz w:val="24"/>
          <w:szCs w:val="24"/>
        </w:rPr>
      </w:pPr>
      <w:r w:rsidRPr="00E743CD">
        <w:rPr>
          <w:rFonts w:ascii="Times New Roman" w:eastAsia="Times New Roman" w:hAnsi="Times New Roman" w:cs="Times New Roman"/>
          <w:color w:val="000000" w:themeColor="text1"/>
          <w:sz w:val="24"/>
          <w:szCs w:val="24"/>
        </w:rPr>
        <w:t xml:space="preserve">Root browse nodes are the highest level of </w:t>
      </w:r>
      <w:r w:rsidR="00EF4AB5" w:rsidRPr="00E270F2">
        <w:rPr>
          <w:rFonts w:ascii="Times New Roman" w:eastAsia="Times New Roman" w:hAnsi="Times New Roman" w:cs="Times New Roman"/>
          <w:sz w:val="24"/>
          <w:szCs w:val="24"/>
        </w:rPr>
        <w:t xml:space="preserve">Amazon’s hierarchy of nodes: </w:t>
      </w:r>
      <w:r w:rsidRPr="00E270F2">
        <w:rPr>
          <w:rFonts w:ascii="Times New Roman" w:eastAsia="Times New Roman" w:hAnsi="Times New Roman" w:cs="Times New Roman"/>
          <w:sz w:val="24"/>
          <w:szCs w:val="24"/>
        </w:rPr>
        <w:t>https://webservices.amazon.com/paapi5/documentation/use-cases/organization-of-items-on-amazon/browse-nodes.html</w:t>
      </w:r>
    </w:p>
    <w:p w14:paraId="16E318D6" w14:textId="77777777" w:rsidR="00F077DA" w:rsidRPr="00E270F2" w:rsidRDefault="00F077DA" w:rsidP="00F077DA">
      <w:pPr>
        <w:pStyle w:val="ListParagraph"/>
        <w:numPr>
          <w:ilvl w:val="0"/>
          <w:numId w:val="4"/>
        </w:numPr>
        <w:rPr>
          <w:rFonts w:ascii="Times New Roman" w:eastAsia="Times New Roman" w:hAnsi="Times New Roman" w:cs="Times New Roman"/>
          <w:sz w:val="24"/>
          <w:szCs w:val="24"/>
        </w:rPr>
      </w:pPr>
      <w:r w:rsidRPr="00E270F2">
        <w:rPr>
          <w:rFonts w:ascii="Times New Roman" w:eastAsia="Times New Roman" w:hAnsi="Times New Roman" w:cs="Times New Roman"/>
          <w:color w:val="222222"/>
          <w:sz w:val="24"/>
          <w:szCs w:val="24"/>
          <w:shd w:val="clear" w:color="auto" w:fill="FFFFFF"/>
        </w:rPr>
        <w:t>Granger, C. W., &amp; Newbold, P. (1974). Spurious regressions in econometrics. </w:t>
      </w:r>
      <w:r w:rsidRPr="00E270F2">
        <w:rPr>
          <w:rFonts w:ascii="Times New Roman" w:eastAsia="Times New Roman" w:hAnsi="Times New Roman" w:cs="Times New Roman"/>
          <w:i/>
          <w:iCs/>
          <w:color w:val="222222"/>
          <w:sz w:val="24"/>
          <w:szCs w:val="24"/>
        </w:rPr>
        <w:t>Journal of econometrics</w:t>
      </w:r>
      <w:r w:rsidRPr="00E270F2">
        <w:rPr>
          <w:rFonts w:ascii="Times New Roman" w:eastAsia="Times New Roman" w:hAnsi="Times New Roman" w:cs="Times New Roman"/>
          <w:color w:val="222222"/>
          <w:sz w:val="24"/>
          <w:szCs w:val="24"/>
          <w:shd w:val="clear" w:color="auto" w:fill="FFFFFF"/>
        </w:rPr>
        <w:t>, </w:t>
      </w:r>
      <w:r w:rsidRPr="00E270F2">
        <w:rPr>
          <w:rFonts w:ascii="Times New Roman" w:eastAsia="Times New Roman" w:hAnsi="Times New Roman" w:cs="Times New Roman"/>
          <w:i/>
          <w:iCs/>
          <w:color w:val="222222"/>
          <w:sz w:val="24"/>
          <w:szCs w:val="24"/>
        </w:rPr>
        <w:t>2</w:t>
      </w:r>
      <w:r w:rsidRPr="00E270F2">
        <w:rPr>
          <w:rFonts w:ascii="Times New Roman" w:eastAsia="Times New Roman" w:hAnsi="Times New Roman" w:cs="Times New Roman"/>
          <w:color w:val="222222"/>
          <w:sz w:val="24"/>
          <w:szCs w:val="24"/>
          <w:shd w:val="clear" w:color="auto" w:fill="FFFFFF"/>
        </w:rPr>
        <w:t>(2), 111-120.</w:t>
      </w:r>
    </w:p>
    <w:p w14:paraId="41A18796" w14:textId="74AC5F6D" w:rsidR="00F077DA" w:rsidRPr="00E270F2" w:rsidRDefault="00715B4E" w:rsidP="00197F62">
      <w:pPr>
        <w:pStyle w:val="ListParagraph"/>
        <w:numPr>
          <w:ilvl w:val="0"/>
          <w:numId w:val="4"/>
        </w:numPr>
        <w:rPr>
          <w:rFonts w:ascii="Times New Roman" w:eastAsia="Times New Roman" w:hAnsi="Times New Roman" w:cs="Times New Roman"/>
          <w:sz w:val="24"/>
          <w:szCs w:val="24"/>
        </w:rPr>
      </w:pPr>
      <w:r w:rsidRPr="00E270F2">
        <w:rPr>
          <w:rFonts w:ascii="Times New Roman" w:eastAsia="Times New Roman" w:hAnsi="Times New Roman" w:cs="Times New Roman"/>
          <w:sz w:val="24"/>
          <w:szCs w:val="24"/>
        </w:rPr>
        <w:t>Amazon</w:t>
      </w:r>
      <w:r w:rsidR="00EC54AD" w:rsidRPr="00E270F2">
        <w:rPr>
          <w:rFonts w:ascii="Times New Roman" w:eastAsia="Times New Roman" w:hAnsi="Times New Roman" w:cs="Times New Roman"/>
          <w:sz w:val="24"/>
          <w:szCs w:val="24"/>
        </w:rPr>
        <w:t xml:space="preserve"> (2022), Increasing Consideration in the Shopping Journey on Amazon, </w:t>
      </w:r>
      <w:r w:rsidR="00EC54AD" w:rsidRPr="00E270F2">
        <w:rPr>
          <w:rFonts w:ascii="Times New Roman" w:hAnsi="Times New Roman" w:cs="Times New Roman"/>
          <w:sz w:val="24"/>
          <w:szCs w:val="24"/>
        </w:rPr>
        <w:t xml:space="preserve"> </w:t>
      </w:r>
      <w:hyperlink r:id="rId15" w:history="1">
        <w:r w:rsidR="007F6030" w:rsidRPr="00E270F2">
          <w:rPr>
            <w:rStyle w:val="Hyperlink"/>
            <w:rFonts w:ascii="Times New Roman" w:eastAsia="Times New Roman" w:hAnsi="Times New Roman" w:cs="Times New Roman"/>
            <w:sz w:val="24"/>
            <w:szCs w:val="24"/>
          </w:rPr>
          <w:t>https://advertising.amazon.com/library/guides/increasing-consideration-in-the-shopping-journey-on-amazon</w:t>
        </w:r>
      </w:hyperlink>
    </w:p>
    <w:p w14:paraId="2B647A3D" w14:textId="3A5AB17D" w:rsidR="007F6030" w:rsidRPr="00E270F2" w:rsidRDefault="007F6030" w:rsidP="007F6030">
      <w:pPr>
        <w:pStyle w:val="ListParagraph"/>
        <w:numPr>
          <w:ilvl w:val="0"/>
          <w:numId w:val="4"/>
        </w:numPr>
        <w:rPr>
          <w:rFonts w:ascii="Times New Roman" w:eastAsia="Times New Roman" w:hAnsi="Times New Roman" w:cs="Times New Roman"/>
          <w:sz w:val="24"/>
          <w:szCs w:val="24"/>
        </w:rPr>
      </w:pPr>
      <w:r w:rsidRPr="00E270F2">
        <w:rPr>
          <w:rFonts w:ascii="Times New Roman" w:eastAsia="Times New Roman" w:hAnsi="Times New Roman" w:cs="Times New Roman"/>
          <w:color w:val="222222"/>
          <w:sz w:val="24"/>
          <w:szCs w:val="24"/>
          <w:shd w:val="clear" w:color="auto" w:fill="FFFFFF"/>
        </w:rPr>
        <w:t>Li, J., Konuş, U., Pauwels, K., &amp; Langerak, F. (2015). The hare and the tortoise: do earlier adopters of online channels purchase more?. </w:t>
      </w:r>
      <w:r w:rsidRPr="00E270F2">
        <w:rPr>
          <w:rFonts w:ascii="Times New Roman" w:eastAsia="Times New Roman" w:hAnsi="Times New Roman" w:cs="Times New Roman"/>
          <w:i/>
          <w:iCs/>
          <w:color w:val="222222"/>
          <w:sz w:val="24"/>
          <w:szCs w:val="24"/>
        </w:rPr>
        <w:t>Journal of Retailing</w:t>
      </w:r>
      <w:r w:rsidRPr="00E270F2">
        <w:rPr>
          <w:rFonts w:ascii="Times New Roman" w:eastAsia="Times New Roman" w:hAnsi="Times New Roman" w:cs="Times New Roman"/>
          <w:color w:val="222222"/>
          <w:sz w:val="24"/>
          <w:szCs w:val="24"/>
          <w:shd w:val="clear" w:color="auto" w:fill="FFFFFF"/>
        </w:rPr>
        <w:t>, </w:t>
      </w:r>
      <w:r w:rsidRPr="00E270F2">
        <w:rPr>
          <w:rFonts w:ascii="Times New Roman" w:eastAsia="Times New Roman" w:hAnsi="Times New Roman" w:cs="Times New Roman"/>
          <w:i/>
          <w:iCs/>
          <w:color w:val="222222"/>
          <w:sz w:val="24"/>
          <w:szCs w:val="24"/>
        </w:rPr>
        <w:t>91</w:t>
      </w:r>
      <w:r w:rsidRPr="00E270F2">
        <w:rPr>
          <w:rFonts w:ascii="Times New Roman" w:eastAsia="Times New Roman" w:hAnsi="Times New Roman" w:cs="Times New Roman"/>
          <w:color w:val="222222"/>
          <w:sz w:val="24"/>
          <w:szCs w:val="24"/>
          <w:shd w:val="clear" w:color="auto" w:fill="FFFFFF"/>
        </w:rPr>
        <w:t>(2), 289-308.</w:t>
      </w:r>
    </w:p>
    <w:p w14:paraId="3681F10E" w14:textId="77CECA85" w:rsidR="00A2386C" w:rsidRPr="00E270F2" w:rsidRDefault="00A2386C" w:rsidP="00C8765F">
      <w:pPr>
        <w:pStyle w:val="ListParagraph"/>
        <w:numPr>
          <w:ilvl w:val="0"/>
          <w:numId w:val="4"/>
        </w:numPr>
        <w:rPr>
          <w:rFonts w:ascii="Times New Roman" w:eastAsia="Times New Roman" w:hAnsi="Times New Roman" w:cs="Times New Roman"/>
          <w:sz w:val="24"/>
          <w:szCs w:val="24"/>
        </w:rPr>
      </w:pPr>
      <w:r w:rsidRPr="00E270F2">
        <w:rPr>
          <w:rFonts w:ascii="Times New Roman" w:eastAsia="Times New Roman" w:hAnsi="Times New Roman" w:cs="Times New Roman"/>
          <w:color w:val="222222"/>
          <w:sz w:val="24"/>
          <w:szCs w:val="24"/>
          <w:shd w:val="clear" w:color="auto" w:fill="FFFFFF"/>
        </w:rPr>
        <w:t xml:space="preserve">Pauwels, K. (2018), Modeling Dynamic Relations among Marketing Actions and Performance Metrics, </w:t>
      </w:r>
      <w:hyperlink r:id="rId16" w:history="1">
        <w:r w:rsidRPr="00E270F2">
          <w:rPr>
            <w:rStyle w:val="Hyperlink"/>
            <w:rFonts w:ascii="Times New Roman" w:hAnsi="Times New Roman" w:cs="Times New Roman"/>
            <w:i/>
            <w:iCs/>
            <w:color w:val="004010"/>
            <w:sz w:val="24"/>
            <w:szCs w:val="24"/>
          </w:rPr>
          <w:t>Foundations and Trends in Marketing</w:t>
        </w:r>
      </w:hyperlink>
      <w:r w:rsidRPr="00E270F2">
        <w:rPr>
          <w:rFonts w:ascii="Times New Roman" w:hAnsi="Times New Roman" w:cs="Times New Roman"/>
          <w:color w:val="000000"/>
          <w:sz w:val="24"/>
          <w:szCs w:val="24"/>
          <w:shd w:val="clear" w:color="auto" w:fill="FFFFFF"/>
        </w:rPr>
        <w:t>, 11 (4), 215-301</w:t>
      </w:r>
    </w:p>
    <w:p w14:paraId="16B329B9" w14:textId="77777777" w:rsidR="00ED6D84" w:rsidRPr="00E270F2" w:rsidRDefault="00ED6D84" w:rsidP="00ED6D84">
      <w:pPr>
        <w:pStyle w:val="ListParagraph"/>
        <w:numPr>
          <w:ilvl w:val="0"/>
          <w:numId w:val="4"/>
        </w:numPr>
        <w:rPr>
          <w:rFonts w:ascii="Times New Roman" w:hAnsi="Times New Roman" w:cs="Times New Roman"/>
          <w:sz w:val="24"/>
          <w:szCs w:val="24"/>
        </w:rPr>
      </w:pPr>
      <w:r w:rsidRPr="00E270F2">
        <w:rPr>
          <w:rFonts w:ascii="Times New Roman" w:hAnsi="Times New Roman" w:cs="Times New Roman"/>
          <w:color w:val="333333"/>
          <w:sz w:val="24"/>
          <w:szCs w:val="24"/>
          <w:shd w:val="clear" w:color="auto" w:fill="FCFCFC"/>
        </w:rPr>
        <w:t>Nelson, P. (1970). Information and consumer behavior.</w:t>
      </w:r>
      <w:r w:rsidRPr="00E270F2">
        <w:rPr>
          <w:rStyle w:val="apple-converted-space"/>
          <w:rFonts w:ascii="Times New Roman" w:hAnsi="Times New Roman" w:cs="Times New Roman"/>
          <w:color w:val="333333"/>
          <w:sz w:val="24"/>
          <w:szCs w:val="24"/>
          <w:shd w:val="clear" w:color="auto" w:fill="FCFCFC"/>
        </w:rPr>
        <w:t> </w:t>
      </w:r>
      <w:r w:rsidRPr="00E270F2">
        <w:rPr>
          <w:rFonts w:ascii="Times New Roman" w:hAnsi="Times New Roman" w:cs="Times New Roman"/>
          <w:i/>
          <w:iCs/>
          <w:color w:val="333333"/>
          <w:sz w:val="24"/>
          <w:szCs w:val="24"/>
        </w:rPr>
        <w:t>Journal of Political Economy, 78</w:t>
      </w:r>
      <w:r w:rsidRPr="00E270F2">
        <w:rPr>
          <w:rFonts w:ascii="Times New Roman" w:hAnsi="Times New Roman" w:cs="Times New Roman"/>
          <w:color w:val="333333"/>
          <w:sz w:val="24"/>
          <w:szCs w:val="24"/>
          <w:shd w:val="clear" w:color="auto" w:fill="FCFCFC"/>
        </w:rPr>
        <w:t>(2), 311–329.</w:t>
      </w:r>
    </w:p>
    <w:p w14:paraId="2C83BF47" w14:textId="77777777" w:rsidR="00C8765F" w:rsidRPr="00E270F2" w:rsidRDefault="00C8765F" w:rsidP="00C8765F">
      <w:pPr>
        <w:pStyle w:val="ListParagraph"/>
        <w:numPr>
          <w:ilvl w:val="0"/>
          <w:numId w:val="4"/>
        </w:numPr>
        <w:rPr>
          <w:rFonts w:ascii="Times New Roman" w:hAnsi="Times New Roman" w:cs="Times New Roman"/>
          <w:sz w:val="24"/>
          <w:szCs w:val="24"/>
        </w:rPr>
      </w:pPr>
      <w:r w:rsidRPr="00E270F2">
        <w:rPr>
          <w:rFonts w:ascii="Times New Roman" w:hAnsi="Times New Roman" w:cs="Times New Roman"/>
          <w:color w:val="222222"/>
          <w:sz w:val="24"/>
          <w:szCs w:val="24"/>
          <w:shd w:val="clear" w:color="auto" w:fill="FFFFFF"/>
        </w:rPr>
        <w:t>Hanssens, D. M., Wang, F., &amp; Zhang, X. P. (2016). Performance growth and opportunistic marketing spending.</w:t>
      </w:r>
      <w:r w:rsidRPr="00E270F2">
        <w:rPr>
          <w:rStyle w:val="apple-converted-space"/>
          <w:rFonts w:ascii="Times New Roman" w:hAnsi="Times New Roman" w:cs="Times New Roman"/>
          <w:color w:val="222222"/>
          <w:sz w:val="24"/>
          <w:szCs w:val="24"/>
          <w:shd w:val="clear" w:color="auto" w:fill="FFFFFF"/>
        </w:rPr>
        <w:t> </w:t>
      </w:r>
      <w:r w:rsidRPr="00E270F2">
        <w:rPr>
          <w:rFonts w:ascii="Times New Roman" w:hAnsi="Times New Roman" w:cs="Times New Roman"/>
          <w:i/>
          <w:iCs/>
          <w:color w:val="222222"/>
          <w:sz w:val="24"/>
          <w:szCs w:val="24"/>
        </w:rPr>
        <w:t>International Journal of Research in Marketing</w:t>
      </w:r>
      <w:r w:rsidRPr="00E270F2">
        <w:rPr>
          <w:rFonts w:ascii="Times New Roman" w:hAnsi="Times New Roman" w:cs="Times New Roman"/>
          <w:color w:val="222222"/>
          <w:sz w:val="24"/>
          <w:szCs w:val="24"/>
          <w:shd w:val="clear" w:color="auto" w:fill="FFFFFF"/>
        </w:rPr>
        <w:t>,</w:t>
      </w:r>
      <w:r w:rsidRPr="00E270F2">
        <w:rPr>
          <w:rStyle w:val="apple-converted-space"/>
          <w:rFonts w:ascii="Times New Roman" w:hAnsi="Times New Roman" w:cs="Times New Roman"/>
          <w:color w:val="222222"/>
          <w:sz w:val="24"/>
          <w:szCs w:val="24"/>
          <w:shd w:val="clear" w:color="auto" w:fill="FFFFFF"/>
        </w:rPr>
        <w:t> </w:t>
      </w:r>
      <w:r w:rsidRPr="00E270F2">
        <w:rPr>
          <w:rFonts w:ascii="Times New Roman" w:hAnsi="Times New Roman" w:cs="Times New Roman"/>
          <w:i/>
          <w:iCs/>
          <w:color w:val="222222"/>
          <w:sz w:val="24"/>
          <w:szCs w:val="24"/>
        </w:rPr>
        <w:t>33</w:t>
      </w:r>
      <w:r w:rsidRPr="00E270F2">
        <w:rPr>
          <w:rFonts w:ascii="Times New Roman" w:hAnsi="Times New Roman" w:cs="Times New Roman"/>
          <w:color w:val="222222"/>
          <w:sz w:val="24"/>
          <w:szCs w:val="24"/>
          <w:shd w:val="clear" w:color="auto" w:fill="FFFFFF"/>
        </w:rPr>
        <w:t>(4), 711-724.</w:t>
      </w:r>
    </w:p>
    <w:p w14:paraId="6FF6F4F1" w14:textId="5DA6B7FD" w:rsidR="00C8765F" w:rsidRPr="00E270F2" w:rsidRDefault="00C8765F" w:rsidP="00C8765F">
      <w:pPr>
        <w:pStyle w:val="ListParagraph"/>
        <w:numPr>
          <w:ilvl w:val="0"/>
          <w:numId w:val="4"/>
        </w:numPr>
        <w:rPr>
          <w:rFonts w:ascii="Times New Roman" w:hAnsi="Times New Roman" w:cs="Times New Roman"/>
          <w:color w:val="222222"/>
          <w:sz w:val="24"/>
          <w:szCs w:val="24"/>
          <w:shd w:val="clear" w:color="auto" w:fill="FFFFFF"/>
        </w:rPr>
      </w:pPr>
      <w:r w:rsidRPr="00E270F2">
        <w:rPr>
          <w:rFonts w:ascii="Times New Roman" w:hAnsi="Times New Roman" w:cs="Times New Roman"/>
          <w:color w:val="222222"/>
          <w:sz w:val="24"/>
          <w:szCs w:val="24"/>
          <w:shd w:val="clear" w:color="auto" w:fill="FFFFFF"/>
        </w:rPr>
        <w:t>Lepkowska-White, E., Brashear, T. G., &amp; Weinberger, M. G. (2003). A test of ad appeal effectiveness in Poland and The United States-the interplay of appeal, product, and culture. </w:t>
      </w:r>
      <w:r w:rsidRPr="00E270F2">
        <w:rPr>
          <w:rFonts w:ascii="Times New Roman" w:hAnsi="Times New Roman" w:cs="Times New Roman"/>
          <w:i/>
          <w:iCs/>
          <w:color w:val="222222"/>
          <w:sz w:val="24"/>
          <w:szCs w:val="24"/>
          <w:shd w:val="clear" w:color="auto" w:fill="FFFFFF"/>
        </w:rPr>
        <w:t>Journal of Advertising</w:t>
      </w:r>
      <w:r w:rsidRPr="00E270F2">
        <w:rPr>
          <w:rFonts w:ascii="Times New Roman" w:hAnsi="Times New Roman" w:cs="Times New Roman"/>
          <w:color w:val="222222"/>
          <w:sz w:val="24"/>
          <w:szCs w:val="24"/>
          <w:shd w:val="clear" w:color="auto" w:fill="FFFFFF"/>
        </w:rPr>
        <w:t>, </w:t>
      </w:r>
      <w:r w:rsidRPr="00E270F2">
        <w:rPr>
          <w:rFonts w:ascii="Times New Roman" w:hAnsi="Times New Roman" w:cs="Times New Roman"/>
          <w:i/>
          <w:iCs/>
          <w:color w:val="222222"/>
          <w:sz w:val="24"/>
          <w:szCs w:val="24"/>
          <w:shd w:val="clear" w:color="auto" w:fill="FFFFFF"/>
        </w:rPr>
        <w:t>32</w:t>
      </w:r>
      <w:r w:rsidRPr="00E270F2">
        <w:rPr>
          <w:rFonts w:ascii="Times New Roman" w:hAnsi="Times New Roman" w:cs="Times New Roman"/>
          <w:color w:val="222222"/>
          <w:sz w:val="24"/>
          <w:szCs w:val="24"/>
          <w:shd w:val="clear" w:color="auto" w:fill="FFFFFF"/>
        </w:rPr>
        <w:t>(3), 57-66.</w:t>
      </w:r>
    </w:p>
    <w:p w14:paraId="5FED3D40" w14:textId="315ECEA0" w:rsidR="00C8765F" w:rsidRPr="00E270F2" w:rsidRDefault="00C8765F" w:rsidP="00C8765F">
      <w:pPr>
        <w:pStyle w:val="ListParagraph"/>
        <w:numPr>
          <w:ilvl w:val="0"/>
          <w:numId w:val="4"/>
        </w:numPr>
        <w:rPr>
          <w:rFonts w:ascii="Times New Roman" w:hAnsi="Times New Roman" w:cs="Times New Roman"/>
          <w:color w:val="222222"/>
          <w:sz w:val="24"/>
          <w:szCs w:val="24"/>
          <w:shd w:val="clear" w:color="auto" w:fill="FFFFFF"/>
        </w:rPr>
      </w:pPr>
      <w:r w:rsidRPr="00E270F2">
        <w:rPr>
          <w:rFonts w:ascii="Times New Roman" w:hAnsi="Times New Roman" w:cs="Times New Roman"/>
          <w:color w:val="222222"/>
          <w:sz w:val="24"/>
          <w:szCs w:val="24"/>
          <w:shd w:val="clear" w:color="auto" w:fill="FFFFFF"/>
        </w:rPr>
        <w:t>Bayer, E., Srinivasan, S., Riedl, E. J., &amp; Skiera, B. (2020). The impact of online display advertising and paid search advertising relative to offline advertising on firm performance and firm value. </w:t>
      </w:r>
      <w:r w:rsidRPr="00E270F2">
        <w:rPr>
          <w:rFonts w:ascii="Times New Roman" w:hAnsi="Times New Roman" w:cs="Times New Roman"/>
          <w:i/>
          <w:iCs/>
          <w:color w:val="222222"/>
          <w:sz w:val="24"/>
          <w:szCs w:val="24"/>
          <w:shd w:val="clear" w:color="auto" w:fill="FFFFFF"/>
        </w:rPr>
        <w:t>International Journal of Research in Marketing</w:t>
      </w:r>
      <w:r w:rsidRPr="00E270F2">
        <w:rPr>
          <w:rFonts w:ascii="Times New Roman" w:hAnsi="Times New Roman" w:cs="Times New Roman"/>
          <w:color w:val="222222"/>
          <w:sz w:val="24"/>
          <w:szCs w:val="24"/>
          <w:shd w:val="clear" w:color="auto" w:fill="FFFFFF"/>
        </w:rPr>
        <w:t>, </w:t>
      </w:r>
      <w:r w:rsidRPr="00E270F2">
        <w:rPr>
          <w:rFonts w:ascii="Times New Roman" w:hAnsi="Times New Roman" w:cs="Times New Roman"/>
          <w:i/>
          <w:iCs/>
          <w:color w:val="222222"/>
          <w:sz w:val="24"/>
          <w:szCs w:val="24"/>
          <w:shd w:val="clear" w:color="auto" w:fill="FFFFFF"/>
        </w:rPr>
        <w:t>37</w:t>
      </w:r>
      <w:r w:rsidRPr="00E270F2">
        <w:rPr>
          <w:rFonts w:ascii="Times New Roman" w:hAnsi="Times New Roman" w:cs="Times New Roman"/>
          <w:color w:val="222222"/>
          <w:sz w:val="24"/>
          <w:szCs w:val="24"/>
          <w:shd w:val="clear" w:color="auto" w:fill="FFFFFF"/>
        </w:rPr>
        <w:t>(4), 789-804.</w:t>
      </w:r>
    </w:p>
    <w:p w14:paraId="3640B1C8" w14:textId="28BB5143" w:rsidR="00E021A3" w:rsidRPr="00E021A3" w:rsidRDefault="00C8765F" w:rsidP="00E743CD">
      <w:pPr>
        <w:pStyle w:val="ListParagraph"/>
        <w:numPr>
          <w:ilvl w:val="0"/>
          <w:numId w:val="4"/>
        </w:numPr>
      </w:pPr>
      <w:r w:rsidRPr="00E270F2">
        <w:rPr>
          <w:rFonts w:ascii="Times New Roman" w:hAnsi="Times New Roman" w:cs="Times New Roman"/>
          <w:color w:val="222222"/>
          <w:sz w:val="24"/>
          <w:szCs w:val="24"/>
          <w:shd w:val="clear" w:color="auto" w:fill="FFFFFF"/>
        </w:rPr>
        <w:t>Stewart, K., Kammer-Kerwick, M., Auchter, A., Koh, H. E., Dunn, M. E., &amp; Cunningham, I. (2019). Examining digital video advertising (DVA) effectiveness: The role of product category, product involvement, and device. </w:t>
      </w:r>
      <w:r w:rsidRPr="00E270F2">
        <w:rPr>
          <w:rFonts w:ascii="Times New Roman" w:hAnsi="Times New Roman" w:cs="Times New Roman"/>
          <w:i/>
          <w:iCs/>
          <w:color w:val="222222"/>
          <w:sz w:val="24"/>
          <w:szCs w:val="24"/>
          <w:shd w:val="clear" w:color="auto" w:fill="FFFFFF"/>
        </w:rPr>
        <w:t>European Journal of Marketing</w:t>
      </w:r>
      <w:r w:rsidRPr="00E270F2">
        <w:rPr>
          <w:rFonts w:ascii="Times New Roman" w:hAnsi="Times New Roman" w:cs="Times New Roman"/>
          <w:color w:val="222222"/>
          <w:sz w:val="24"/>
          <w:szCs w:val="24"/>
          <w:shd w:val="clear" w:color="auto" w:fill="FFFFFF"/>
        </w:rPr>
        <w:t>, </w:t>
      </w:r>
      <w:r w:rsidRPr="00E270F2">
        <w:rPr>
          <w:rFonts w:ascii="Times New Roman" w:hAnsi="Times New Roman" w:cs="Times New Roman"/>
          <w:i/>
          <w:iCs/>
          <w:color w:val="222222"/>
          <w:sz w:val="24"/>
          <w:szCs w:val="24"/>
          <w:shd w:val="clear" w:color="auto" w:fill="FFFFFF"/>
        </w:rPr>
        <w:t>53</w:t>
      </w:r>
      <w:r w:rsidRPr="00E270F2">
        <w:rPr>
          <w:rFonts w:ascii="Times New Roman" w:hAnsi="Times New Roman" w:cs="Times New Roman"/>
          <w:color w:val="222222"/>
          <w:sz w:val="24"/>
          <w:szCs w:val="24"/>
          <w:shd w:val="clear" w:color="auto" w:fill="FFFFFF"/>
        </w:rPr>
        <w:t>(11), 2451-2479.</w:t>
      </w:r>
    </w:p>
    <w:sectPr w:rsidR="00E021A3" w:rsidRPr="00E02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0383" w14:textId="77777777" w:rsidR="004D2655" w:rsidRDefault="004D2655" w:rsidP="00E021A3">
      <w:r>
        <w:separator/>
      </w:r>
    </w:p>
  </w:endnote>
  <w:endnote w:type="continuationSeparator" w:id="0">
    <w:p w14:paraId="20362702" w14:textId="77777777" w:rsidR="004D2655" w:rsidRDefault="004D2655" w:rsidP="00E0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8E46" w14:textId="77777777" w:rsidR="004D2655" w:rsidRDefault="004D2655" w:rsidP="00E021A3">
      <w:r>
        <w:separator/>
      </w:r>
    </w:p>
  </w:footnote>
  <w:footnote w:type="continuationSeparator" w:id="0">
    <w:p w14:paraId="610DC34A" w14:textId="77777777" w:rsidR="004D2655" w:rsidRDefault="004D2655" w:rsidP="00E02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D5"/>
    <w:multiLevelType w:val="hybridMultilevel"/>
    <w:tmpl w:val="2DBE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81AF0"/>
    <w:multiLevelType w:val="hybridMultilevel"/>
    <w:tmpl w:val="2D64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F6EA4"/>
    <w:multiLevelType w:val="hybridMultilevel"/>
    <w:tmpl w:val="BC3CE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17127"/>
    <w:multiLevelType w:val="hybridMultilevel"/>
    <w:tmpl w:val="AEBAB71E"/>
    <w:lvl w:ilvl="0" w:tplc="121AD1F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7374E01"/>
    <w:multiLevelType w:val="hybridMultilevel"/>
    <w:tmpl w:val="C51A0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985486">
    <w:abstractNumId w:val="1"/>
  </w:num>
  <w:num w:numId="2" w16cid:durableId="1976523922">
    <w:abstractNumId w:val="4"/>
  </w:num>
  <w:num w:numId="3" w16cid:durableId="1180584680">
    <w:abstractNumId w:val="2"/>
  </w:num>
  <w:num w:numId="4" w16cid:durableId="1457211299">
    <w:abstractNumId w:val="0"/>
  </w:num>
  <w:num w:numId="5" w16cid:durableId="1172454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A3"/>
    <w:rsid w:val="000050DA"/>
    <w:rsid w:val="000419CC"/>
    <w:rsid w:val="000E7D92"/>
    <w:rsid w:val="001167EA"/>
    <w:rsid w:val="00154532"/>
    <w:rsid w:val="001959F1"/>
    <w:rsid w:val="00197F62"/>
    <w:rsid w:val="001C4423"/>
    <w:rsid w:val="001C7F34"/>
    <w:rsid w:val="00233F9A"/>
    <w:rsid w:val="00242531"/>
    <w:rsid w:val="002658D4"/>
    <w:rsid w:val="0027063A"/>
    <w:rsid w:val="00271F12"/>
    <w:rsid w:val="00274824"/>
    <w:rsid w:val="002F52A8"/>
    <w:rsid w:val="00373DDA"/>
    <w:rsid w:val="003B3D4A"/>
    <w:rsid w:val="00415775"/>
    <w:rsid w:val="00424FC9"/>
    <w:rsid w:val="004446DD"/>
    <w:rsid w:val="0045175D"/>
    <w:rsid w:val="004842B3"/>
    <w:rsid w:val="004D2655"/>
    <w:rsid w:val="00502480"/>
    <w:rsid w:val="005276CC"/>
    <w:rsid w:val="00532199"/>
    <w:rsid w:val="00536FA6"/>
    <w:rsid w:val="005F203C"/>
    <w:rsid w:val="00631FE6"/>
    <w:rsid w:val="006348B9"/>
    <w:rsid w:val="006412DF"/>
    <w:rsid w:val="006A5C20"/>
    <w:rsid w:val="00715B4E"/>
    <w:rsid w:val="0075127F"/>
    <w:rsid w:val="00764FF2"/>
    <w:rsid w:val="007F0DB7"/>
    <w:rsid w:val="007F34D8"/>
    <w:rsid w:val="007F6030"/>
    <w:rsid w:val="00812FDC"/>
    <w:rsid w:val="008D1D35"/>
    <w:rsid w:val="008D6678"/>
    <w:rsid w:val="008E07DF"/>
    <w:rsid w:val="00903076"/>
    <w:rsid w:val="00947EF3"/>
    <w:rsid w:val="0095032F"/>
    <w:rsid w:val="009A0A0D"/>
    <w:rsid w:val="009D37E6"/>
    <w:rsid w:val="009D7D78"/>
    <w:rsid w:val="00A06F4F"/>
    <w:rsid w:val="00A07F4E"/>
    <w:rsid w:val="00A2386C"/>
    <w:rsid w:val="00A41494"/>
    <w:rsid w:val="00AA5E26"/>
    <w:rsid w:val="00AE3B31"/>
    <w:rsid w:val="00AF37E2"/>
    <w:rsid w:val="00AF3F05"/>
    <w:rsid w:val="00B11860"/>
    <w:rsid w:val="00B33E1A"/>
    <w:rsid w:val="00BB7C27"/>
    <w:rsid w:val="00BD0FD7"/>
    <w:rsid w:val="00C143C4"/>
    <w:rsid w:val="00C200A0"/>
    <w:rsid w:val="00C26650"/>
    <w:rsid w:val="00C46D61"/>
    <w:rsid w:val="00C54BAA"/>
    <w:rsid w:val="00C6079B"/>
    <w:rsid w:val="00C6162B"/>
    <w:rsid w:val="00C6798F"/>
    <w:rsid w:val="00C84B5E"/>
    <w:rsid w:val="00C85D67"/>
    <w:rsid w:val="00C8765F"/>
    <w:rsid w:val="00CB2A1C"/>
    <w:rsid w:val="00D01E62"/>
    <w:rsid w:val="00D20B3B"/>
    <w:rsid w:val="00D20DBB"/>
    <w:rsid w:val="00D23269"/>
    <w:rsid w:val="00D67BF8"/>
    <w:rsid w:val="00E021A3"/>
    <w:rsid w:val="00E11DBC"/>
    <w:rsid w:val="00E270F2"/>
    <w:rsid w:val="00E27BB7"/>
    <w:rsid w:val="00E455DB"/>
    <w:rsid w:val="00E5599A"/>
    <w:rsid w:val="00E70927"/>
    <w:rsid w:val="00E743CD"/>
    <w:rsid w:val="00EB5ED1"/>
    <w:rsid w:val="00EC54AD"/>
    <w:rsid w:val="00ED6D84"/>
    <w:rsid w:val="00EF4AB5"/>
    <w:rsid w:val="00F06440"/>
    <w:rsid w:val="00F077DA"/>
    <w:rsid w:val="00F177B7"/>
    <w:rsid w:val="00FA7DD6"/>
    <w:rsid w:val="00FC226D"/>
    <w:rsid w:val="00FF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98CC"/>
  <w15:chartTrackingRefBased/>
  <w15:docId w15:val="{7AD10655-E4A9-A74E-B469-73171C1E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84"/>
    <w:rPr>
      <w:rFonts w:ascii="Times New Roman" w:eastAsia="Times New Roman" w:hAnsi="Times New Roman" w:cs="Times New Roman"/>
    </w:rPr>
  </w:style>
  <w:style w:type="paragraph" w:styleId="Heading1">
    <w:name w:val="heading 1"/>
    <w:next w:val="Normal"/>
    <w:link w:val="Heading1Char"/>
    <w:uiPriority w:val="9"/>
    <w:unhideWhenUsed/>
    <w:qFormat/>
    <w:rsid w:val="00E021A3"/>
    <w:pPr>
      <w:keepNext/>
      <w:keepLines/>
      <w:spacing w:after="3" w:line="259" w:lineRule="auto"/>
      <w:ind w:left="10" w:hanging="10"/>
      <w:outlineLvl w:val="0"/>
    </w:pPr>
    <w:rPr>
      <w:rFonts w:ascii="Calibri" w:eastAsia="Calibri" w:hAnsi="Calibri" w:cs="Calibri"/>
      <w:b/>
      <w:color w:val="5B9BD5"/>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1A3"/>
    <w:rPr>
      <w:rFonts w:ascii="Calibri" w:eastAsia="Calibri" w:hAnsi="Calibri" w:cs="Calibri"/>
      <w:b/>
      <w:color w:val="5B9BD5"/>
      <w:sz w:val="18"/>
      <w:szCs w:val="22"/>
      <w:lang w:val="en-GB" w:eastAsia="en-GB"/>
    </w:rPr>
  </w:style>
  <w:style w:type="paragraph" w:styleId="ListParagraph">
    <w:name w:val="List Paragraph"/>
    <w:basedOn w:val="Normal"/>
    <w:uiPriority w:val="34"/>
    <w:qFormat/>
    <w:rsid w:val="00E021A3"/>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E021A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1A3"/>
    <w:rPr>
      <w:color w:val="0563C1" w:themeColor="hyperlink"/>
      <w:u w:val="single"/>
    </w:rPr>
  </w:style>
  <w:style w:type="paragraph" w:styleId="FootnoteText">
    <w:name w:val="footnote text"/>
    <w:basedOn w:val="Normal"/>
    <w:link w:val="FootnoteTextChar"/>
    <w:uiPriority w:val="99"/>
    <w:unhideWhenUsed/>
    <w:rsid w:val="00E021A3"/>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E021A3"/>
    <w:rPr>
      <w:sz w:val="20"/>
      <w:szCs w:val="20"/>
      <w:lang w:val="en-GB"/>
    </w:rPr>
  </w:style>
  <w:style w:type="character" w:styleId="FootnoteReference">
    <w:name w:val="footnote reference"/>
    <w:basedOn w:val="DefaultParagraphFont"/>
    <w:uiPriority w:val="99"/>
    <w:semiHidden/>
    <w:unhideWhenUsed/>
    <w:rsid w:val="00E021A3"/>
    <w:rPr>
      <w:vertAlign w:val="superscript"/>
    </w:rPr>
  </w:style>
  <w:style w:type="character" w:styleId="IntenseReference">
    <w:name w:val="Intense Reference"/>
    <w:basedOn w:val="DefaultParagraphFont"/>
    <w:uiPriority w:val="32"/>
    <w:qFormat/>
    <w:rsid w:val="00E021A3"/>
    <w:rPr>
      <w:b/>
      <w:bCs/>
      <w:smallCaps/>
      <w:color w:val="4472C4" w:themeColor="accent1"/>
      <w:spacing w:val="5"/>
    </w:rPr>
  </w:style>
  <w:style w:type="character" w:styleId="UnresolvedMention">
    <w:name w:val="Unresolved Mention"/>
    <w:basedOn w:val="DefaultParagraphFont"/>
    <w:uiPriority w:val="99"/>
    <w:semiHidden/>
    <w:unhideWhenUsed/>
    <w:rsid w:val="00197F62"/>
    <w:rPr>
      <w:color w:val="605E5C"/>
      <w:shd w:val="clear" w:color="auto" w:fill="E1DFDD"/>
    </w:rPr>
  </w:style>
  <w:style w:type="character" w:customStyle="1" w:styleId="apple-converted-space">
    <w:name w:val="apple-converted-space"/>
    <w:basedOn w:val="DefaultParagraphFont"/>
    <w:rsid w:val="00197F62"/>
  </w:style>
  <w:style w:type="character" w:styleId="CommentReference">
    <w:name w:val="annotation reference"/>
    <w:basedOn w:val="DefaultParagraphFont"/>
    <w:uiPriority w:val="99"/>
    <w:semiHidden/>
    <w:unhideWhenUsed/>
    <w:rsid w:val="00C54BAA"/>
    <w:rPr>
      <w:sz w:val="16"/>
      <w:szCs w:val="16"/>
    </w:rPr>
  </w:style>
  <w:style w:type="paragraph" w:styleId="CommentText">
    <w:name w:val="annotation text"/>
    <w:basedOn w:val="Normal"/>
    <w:link w:val="CommentTextChar"/>
    <w:uiPriority w:val="99"/>
    <w:semiHidden/>
    <w:unhideWhenUsed/>
    <w:rsid w:val="00C54BA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54BAA"/>
    <w:rPr>
      <w:sz w:val="20"/>
      <w:szCs w:val="20"/>
    </w:rPr>
  </w:style>
  <w:style w:type="paragraph" w:styleId="CommentSubject">
    <w:name w:val="annotation subject"/>
    <w:basedOn w:val="CommentText"/>
    <w:next w:val="CommentText"/>
    <w:link w:val="CommentSubjectChar"/>
    <w:uiPriority w:val="99"/>
    <w:semiHidden/>
    <w:unhideWhenUsed/>
    <w:rsid w:val="00C54BAA"/>
    <w:rPr>
      <w:b/>
      <w:bCs/>
    </w:rPr>
  </w:style>
  <w:style w:type="character" w:customStyle="1" w:styleId="CommentSubjectChar">
    <w:name w:val="Comment Subject Char"/>
    <w:basedOn w:val="CommentTextChar"/>
    <w:link w:val="CommentSubject"/>
    <w:uiPriority w:val="99"/>
    <w:semiHidden/>
    <w:rsid w:val="00C54BAA"/>
    <w:rPr>
      <w:b/>
      <w:bCs/>
      <w:sz w:val="20"/>
      <w:szCs w:val="20"/>
    </w:rPr>
  </w:style>
  <w:style w:type="paragraph" w:styleId="Revision">
    <w:name w:val="Revision"/>
    <w:hidden/>
    <w:uiPriority w:val="99"/>
    <w:semiHidden/>
    <w:rsid w:val="00242531"/>
  </w:style>
  <w:style w:type="character" w:styleId="FollowedHyperlink">
    <w:name w:val="FollowedHyperlink"/>
    <w:basedOn w:val="DefaultParagraphFont"/>
    <w:uiPriority w:val="99"/>
    <w:semiHidden/>
    <w:unhideWhenUsed/>
    <w:rsid w:val="00A2386C"/>
    <w:rPr>
      <w:color w:val="954F72" w:themeColor="followedHyperlink"/>
      <w:u w:val="single"/>
    </w:rPr>
  </w:style>
  <w:style w:type="paragraph" w:styleId="BalloonText">
    <w:name w:val="Balloon Text"/>
    <w:basedOn w:val="Normal"/>
    <w:link w:val="BalloonTextChar"/>
    <w:uiPriority w:val="99"/>
    <w:semiHidden/>
    <w:unhideWhenUsed/>
    <w:rsid w:val="009A0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0D"/>
    <w:rPr>
      <w:rFonts w:ascii="Segoe UI" w:eastAsia="Times New Roman" w:hAnsi="Segoe UI" w:cs="Segoe UI"/>
      <w:sz w:val="18"/>
      <w:szCs w:val="18"/>
    </w:rPr>
  </w:style>
  <w:style w:type="paragraph" w:styleId="Header">
    <w:name w:val="header"/>
    <w:basedOn w:val="Normal"/>
    <w:link w:val="HeaderChar"/>
    <w:uiPriority w:val="99"/>
    <w:unhideWhenUsed/>
    <w:rsid w:val="004842B3"/>
    <w:pPr>
      <w:tabs>
        <w:tab w:val="center" w:pos="4680"/>
        <w:tab w:val="right" w:pos="9360"/>
      </w:tabs>
    </w:pPr>
  </w:style>
  <w:style w:type="character" w:customStyle="1" w:styleId="HeaderChar">
    <w:name w:val="Header Char"/>
    <w:basedOn w:val="DefaultParagraphFont"/>
    <w:link w:val="Header"/>
    <w:uiPriority w:val="99"/>
    <w:rsid w:val="004842B3"/>
    <w:rPr>
      <w:rFonts w:ascii="Times New Roman" w:eastAsia="Times New Roman" w:hAnsi="Times New Roman" w:cs="Times New Roman"/>
    </w:rPr>
  </w:style>
  <w:style w:type="paragraph" w:styleId="Footer">
    <w:name w:val="footer"/>
    <w:basedOn w:val="Normal"/>
    <w:link w:val="FooterChar"/>
    <w:uiPriority w:val="99"/>
    <w:unhideWhenUsed/>
    <w:rsid w:val="004842B3"/>
    <w:pPr>
      <w:tabs>
        <w:tab w:val="center" w:pos="4680"/>
        <w:tab w:val="right" w:pos="9360"/>
      </w:tabs>
    </w:pPr>
  </w:style>
  <w:style w:type="character" w:customStyle="1" w:styleId="FooterChar">
    <w:name w:val="Footer Char"/>
    <w:basedOn w:val="DefaultParagraphFont"/>
    <w:link w:val="Footer"/>
    <w:uiPriority w:val="99"/>
    <w:rsid w:val="004842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281">
      <w:bodyDiv w:val="1"/>
      <w:marLeft w:val="0"/>
      <w:marRight w:val="0"/>
      <w:marTop w:val="0"/>
      <w:marBottom w:val="0"/>
      <w:divBdr>
        <w:top w:val="none" w:sz="0" w:space="0" w:color="auto"/>
        <w:left w:val="none" w:sz="0" w:space="0" w:color="auto"/>
        <w:bottom w:val="none" w:sz="0" w:space="0" w:color="auto"/>
        <w:right w:val="none" w:sz="0" w:space="0" w:color="auto"/>
      </w:divBdr>
    </w:div>
    <w:div w:id="1174370773">
      <w:bodyDiv w:val="1"/>
      <w:marLeft w:val="0"/>
      <w:marRight w:val="0"/>
      <w:marTop w:val="0"/>
      <w:marBottom w:val="0"/>
      <w:divBdr>
        <w:top w:val="none" w:sz="0" w:space="0" w:color="auto"/>
        <w:left w:val="none" w:sz="0" w:space="0" w:color="auto"/>
        <w:bottom w:val="none" w:sz="0" w:space="0" w:color="auto"/>
        <w:right w:val="none" w:sz="0" w:space="0" w:color="auto"/>
      </w:divBdr>
    </w:div>
    <w:div w:id="1344280870">
      <w:bodyDiv w:val="1"/>
      <w:marLeft w:val="0"/>
      <w:marRight w:val="0"/>
      <w:marTop w:val="0"/>
      <w:marBottom w:val="0"/>
      <w:divBdr>
        <w:top w:val="none" w:sz="0" w:space="0" w:color="auto"/>
        <w:left w:val="none" w:sz="0" w:space="0" w:color="auto"/>
        <w:bottom w:val="none" w:sz="0" w:space="0" w:color="auto"/>
        <w:right w:val="none" w:sz="0" w:space="0" w:color="auto"/>
      </w:divBdr>
    </w:div>
    <w:div w:id="1371498019">
      <w:bodyDiv w:val="1"/>
      <w:marLeft w:val="0"/>
      <w:marRight w:val="0"/>
      <w:marTop w:val="0"/>
      <w:marBottom w:val="0"/>
      <w:divBdr>
        <w:top w:val="none" w:sz="0" w:space="0" w:color="auto"/>
        <w:left w:val="none" w:sz="0" w:space="0" w:color="auto"/>
        <w:bottom w:val="none" w:sz="0" w:space="0" w:color="auto"/>
        <w:right w:val="none" w:sz="0" w:space="0" w:color="auto"/>
      </w:divBdr>
    </w:div>
    <w:div w:id="1510291384">
      <w:bodyDiv w:val="1"/>
      <w:marLeft w:val="0"/>
      <w:marRight w:val="0"/>
      <w:marTop w:val="0"/>
      <w:marBottom w:val="0"/>
      <w:divBdr>
        <w:top w:val="none" w:sz="0" w:space="0" w:color="auto"/>
        <w:left w:val="none" w:sz="0" w:space="0" w:color="auto"/>
        <w:bottom w:val="none" w:sz="0" w:space="0" w:color="auto"/>
        <w:right w:val="none" w:sz="0" w:space="0" w:color="auto"/>
      </w:divBdr>
    </w:div>
    <w:div w:id="19037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kaline-ml.com/pmdarima/modules/generated/pmdarima.arima.ARIMA.html"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onpapers.repec.org/article/nowfntm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advertising.amazon.com/library/guides/increasing-consideration-in-the-shopping-journey-on-amazon"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match2one.com/blog/what-is-roa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qnyue\WorkDocsDownloads\Projects\LWP\REA\summary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qnyue\WorkDocsDownloads\Projects\LWP\REA\summary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visuals!$B$27</c:f>
              <c:strCache>
                <c:ptCount val="1"/>
                <c:pt idx="0">
                  <c:v>average</c:v>
                </c:pt>
              </c:strCache>
            </c:strRef>
          </c:tx>
          <c:spPr>
            <a:solidFill>
              <a:schemeClr val="accent1"/>
            </a:solidFill>
            <a:ln>
              <a:noFill/>
            </a:ln>
            <a:effectLst/>
          </c:spPr>
          <c:invertIfNegative val="0"/>
          <c:errBars>
            <c:errBarType val="both"/>
            <c:errValType val="cust"/>
            <c:noEndCap val="0"/>
            <c:plus>
              <c:numRef>
                <c:f>visuals!$C$30:$F$30</c:f>
                <c:numCache>
                  <c:formatCode>General</c:formatCode>
                  <c:ptCount val="4"/>
                  <c:pt idx="0">
                    <c:v>2.367601257451462</c:v>
                  </c:pt>
                  <c:pt idx="1">
                    <c:v>3.539975786842132</c:v>
                  </c:pt>
                  <c:pt idx="2">
                    <c:v>3.3172873312535405</c:v>
                  </c:pt>
                  <c:pt idx="3">
                    <c:v>1.1842719282327014</c:v>
                  </c:pt>
                </c:numCache>
              </c:numRef>
            </c:plus>
            <c:minus>
              <c:numRef>
                <c:f>visuals!$C$30:$F$30</c:f>
                <c:numCache>
                  <c:formatCode>General</c:formatCode>
                  <c:ptCount val="4"/>
                  <c:pt idx="0">
                    <c:v>2.367601257451462</c:v>
                  </c:pt>
                  <c:pt idx="1">
                    <c:v>3.539975786842132</c:v>
                  </c:pt>
                  <c:pt idx="2">
                    <c:v>3.3172873312535405</c:v>
                  </c:pt>
                  <c:pt idx="3">
                    <c:v>1.1842719282327014</c:v>
                  </c:pt>
                </c:numCache>
              </c:numRef>
            </c:minus>
            <c:spPr>
              <a:noFill/>
              <a:ln w="9525" cap="flat" cmpd="sng" algn="ctr">
                <a:solidFill>
                  <a:schemeClr val="tx1">
                    <a:lumMod val="65000"/>
                    <a:lumOff val="35000"/>
                  </a:schemeClr>
                </a:solidFill>
                <a:round/>
              </a:ln>
              <a:effectLst/>
            </c:spPr>
          </c:errBars>
          <c:cat>
            <c:strRef>
              <c:f>visuals!$C$26:$F$26</c:f>
              <c:strCache>
                <c:ptCount val="4"/>
                <c:pt idx="0">
                  <c:v>SB (SBV)</c:v>
                </c:pt>
                <c:pt idx="1">
                  <c:v>SD</c:v>
                </c:pt>
                <c:pt idx="2">
                  <c:v>DSP Display (Video)</c:v>
                </c:pt>
                <c:pt idx="3">
                  <c:v>STV</c:v>
                </c:pt>
              </c:strCache>
            </c:strRef>
          </c:cat>
          <c:val>
            <c:numRef>
              <c:f>visuals!$C$27:$F$27</c:f>
              <c:numCache>
                <c:formatCode>General</c:formatCode>
                <c:ptCount val="4"/>
                <c:pt idx="0">
                  <c:v>8.4374999999999982</c:v>
                </c:pt>
                <c:pt idx="1">
                  <c:v>6.1857142857142859</c:v>
                </c:pt>
                <c:pt idx="2">
                  <c:v>2.5442857142857145</c:v>
                </c:pt>
                <c:pt idx="3">
                  <c:v>1.2749999999999999</c:v>
                </c:pt>
              </c:numCache>
            </c:numRef>
          </c:val>
          <c:extLst>
            <c:ext xmlns:c16="http://schemas.microsoft.com/office/drawing/2014/chart" uri="{C3380CC4-5D6E-409C-BE32-E72D297353CC}">
              <c16:uniqueId val="{00000000-3DBF-5D4C-96EE-D6745794ECCF}"/>
            </c:ext>
          </c:extLst>
        </c:ser>
        <c:dLbls>
          <c:showLegendKey val="0"/>
          <c:showVal val="0"/>
          <c:showCatName val="0"/>
          <c:showSerName val="0"/>
          <c:showPercent val="0"/>
          <c:showBubbleSize val="0"/>
        </c:dLbls>
        <c:gapWidth val="219"/>
        <c:overlap val="-27"/>
        <c:axId val="667969680"/>
        <c:axId val="667971328"/>
      </c:barChart>
      <c:catAx>
        <c:axId val="66796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7971328"/>
        <c:crosses val="autoZero"/>
        <c:auto val="1"/>
        <c:lblAlgn val="ctr"/>
        <c:lblOffset val="100"/>
        <c:noMultiLvlLbl val="0"/>
      </c:catAx>
      <c:valAx>
        <c:axId val="66797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796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visuals!$L$30:$O$30</c:f>
                <c:numCache>
                  <c:formatCode>General</c:formatCode>
                  <c:ptCount val="4"/>
                  <c:pt idx="0">
                    <c:v>1.8684886941054761</c:v>
                  </c:pt>
                  <c:pt idx="1">
                    <c:v>3.0718072856219334</c:v>
                  </c:pt>
                  <c:pt idx="2">
                    <c:v>3.0305291852838416</c:v>
                  </c:pt>
                  <c:pt idx="3">
                    <c:v>1.1954775893619527</c:v>
                  </c:pt>
                </c:numCache>
              </c:numRef>
            </c:plus>
            <c:minus>
              <c:numRef>
                <c:f>visuals!$L$30:$O$30</c:f>
                <c:numCache>
                  <c:formatCode>General</c:formatCode>
                  <c:ptCount val="4"/>
                  <c:pt idx="0">
                    <c:v>1.8684886941054761</c:v>
                  </c:pt>
                  <c:pt idx="1">
                    <c:v>3.0718072856219334</c:v>
                  </c:pt>
                  <c:pt idx="2">
                    <c:v>3.0305291852838416</c:v>
                  </c:pt>
                  <c:pt idx="3">
                    <c:v>1.1954775893619527</c:v>
                  </c:pt>
                </c:numCache>
              </c:numRef>
            </c:minus>
            <c:spPr>
              <a:noFill/>
              <a:ln w="9525" cap="flat" cmpd="sng" algn="ctr">
                <a:solidFill>
                  <a:schemeClr val="tx1">
                    <a:lumMod val="65000"/>
                    <a:lumOff val="35000"/>
                  </a:schemeClr>
                </a:solidFill>
                <a:round/>
              </a:ln>
              <a:effectLst/>
            </c:spPr>
          </c:errBars>
          <c:cat>
            <c:strRef>
              <c:f>visuals!$L$26:$O$26</c:f>
              <c:strCache>
                <c:ptCount val="4"/>
                <c:pt idx="0">
                  <c:v>SB (SBV)</c:v>
                </c:pt>
                <c:pt idx="1">
                  <c:v>SD</c:v>
                </c:pt>
                <c:pt idx="2">
                  <c:v>DSP Display (Video)</c:v>
                </c:pt>
                <c:pt idx="3">
                  <c:v>STV</c:v>
                </c:pt>
              </c:strCache>
            </c:strRef>
          </c:cat>
          <c:val>
            <c:numRef>
              <c:f>visuals!$L$27:$O$27</c:f>
              <c:numCache>
                <c:formatCode>General</c:formatCode>
                <c:ptCount val="4"/>
                <c:pt idx="0">
                  <c:v>9.1625000000000014</c:v>
                </c:pt>
                <c:pt idx="1">
                  <c:v>5.2</c:v>
                </c:pt>
                <c:pt idx="2">
                  <c:v>2.4875000000000003</c:v>
                </c:pt>
                <c:pt idx="3">
                  <c:v>1.7250000000000001</c:v>
                </c:pt>
              </c:numCache>
            </c:numRef>
          </c:val>
          <c:extLst>
            <c:ext xmlns:c16="http://schemas.microsoft.com/office/drawing/2014/chart" uri="{C3380CC4-5D6E-409C-BE32-E72D297353CC}">
              <c16:uniqueId val="{00000000-5052-DA46-A4F7-9C7930CBCDA6}"/>
            </c:ext>
          </c:extLst>
        </c:ser>
        <c:dLbls>
          <c:showLegendKey val="0"/>
          <c:showVal val="0"/>
          <c:showCatName val="0"/>
          <c:showSerName val="0"/>
          <c:showPercent val="0"/>
          <c:showBubbleSize val="0"/>
        </c:dLbls>
        <c:gapWidth val="219"/>
        <c:overlap val="-27"/>
        <c:axId val="923950768"/>
        <c:axId val="923952416"/>
      </c:barChart>
      <c:catAx>
        <c:axId val="92395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3952416"/>
        <c:crosses val="autoZero"/>
        <c:auto val="1"/>
        <c:lblAlgn val="ctr"/>
        <c:lblOffset val="100"/>
        <c:noMultiLvlLbl val="0"/>
      </c:catAx>
      <c:valAx>
        <c:axId val="92395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3950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Indexed Ad Efficacy on DPV by Browse Node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Tools and Home Improvement </c:v>
                </c:pt>
              </c:strCache>
            </c:strRef>
          </c:tx>
          <c:spPr>
            <a:solidFill>
              <a:schemeClr val="accent1"/>
            </a:solidFill>
            <a:ln>
              <a:noFill/>
            </a:ln>
            <a:effectLst/>
          </c:spPr>
          <c:invertIfNegative val="0"/>
          <c:cat>
            <c:strRef>
              <c:f>Sheet1!$A$2:$A$4</c:f>
              <c:strCache>
                <c:ptCount val="3"/>
                <c:pt idx="0">
                  <c:v>SB(SBV)</c:v>
                </c:pt>
                <c:pt idx="1">
                  <c:v>SD</c:v>
                </c:pt>
                <c:pt idx="2">
                  <c:v>DSP Display (Video)</c:v>
                </c:pt>
              </c:strCache>
            </c:strRef>
          </c:cat>
          <c:val>
            <c:numRef>
              <c:f>Sheet1!$B$2:$B$4</c:f>
              <c:numCache>
                <c:formatCode>0.0</c:formatCode>
                <c:ptCount val="3"/>
                <c:pt idx="0">
                  <c:v>8.6999999999999993</c:v>
                </c:pt>
                <c:pt idx="1">
                  <c:v>8.8000000000000007</c:v>
                </c:pt>
                <c:pt idx="2">
                  <c:v>1.01</c:v>
                </c:pt>
              </c:numCache>
            </c:numRef>
          </c:val>
          <c:extLst>
            <c:ext xmlns:c16="http://schemas.microsoft.com/office/drawing/2014/chart" uri="{C3380CC4-5D6E-409C-BE32-E72D297353CC}">
              <c16:uniqueId val="{00000000-5FFA-9045-8EB0-3A2F454F33BE}"/>
            </c:ext>
          </c:extLst>
        </c:ser>
        <c:ser>
          <c:idx val="1"/>
          <c:order val="1"/>
          <c:tx>
            <c:strRef>
              <c:f>Sheet1!$C$1</c:f>
              <c:strCache>
                <c:ptCount val="1"/>
                <c:pt idx="0">
                  <c:v>Home and Kitchen </c:v>
                </c:pt>
              </c:strCache>
            </c:strRef>
          </c:tx>
          <c:spPr>
            <a:solidFill>
              <a:schemeClr val="accent2"/>
            </a:solidFill>
            <a:ln>
              <a:noFill/>
            </a:ln>
            <a:effectLst/>
          </c:spPr>
          <c:invertIfNegative val="0"/>
          <c:cat>
            <c:strRef>
              <c:f>Sheet1!$A$2:$A$4</c:f>
              <c:strCache>
                <c:ptCount val="3"/>
                <c:pt idx="0">
                  <c:v>SB(SBV)</c:v>
                </c:pt>
                <c:pt idx="1">
                  <c:v>SD</c:v>
                </c:pt>
                <c:pt idx="2">
                  <c:v>DSP Display (Video)</c:v>
                </c:pt>
              </c:strCache>
            </c:strRef>
          </c:cat>
          <c:val>
            <c:numRef>
              <c:f>Sheet1!$C$2:$C$4</c:f>
              <c:numCache>
                <c:formatCode>0.0</c:formatCode>
                <c:ptCount val="3"/>
                <c:pt idx="0">
                  <c:v>4.4333333333333336</c:v>
                </c:pt>
                <c:pt idx="1">
                  <c:v>2.7333333333333329</c:v>
                </c:pt>
                <c:pt idx="2">
                  <c:v>1.0666666666666667</c:v>
                </c:pt>
              </c:numCache>
            </c:numRef>
          </c:val>
          <c:extLst>
            <c:ext xmlns:c16="http://schemas.microsoft.com/office/drawing/2014/chart" uri="{C3380CC4-5D6E-409C-BE32-E72D297353CC}">
              <c16:uniqueId val="{00000001-5FFA-9045-8EB0-3A2F454F33BE}"/>
            </c:ext>
          </c:extLst>
        </c:ser>
        <c:ser>
          <c:idx val="2"/>
          <c:order val="2"/>
          <c:tx>
            <c:strRef>
              <c:f>Sheet1!$D$1</c:f>
              <c:strCache>
                <c:ptCount val="1"/>
                <c:pt idx="0">
                  <c:v>Electronics </c:v>
                </c:pt>
              </c:strCache>
            </c:strRef>
          </c:tx>
          <c:spPr>
            <a:solidFill>
              <a:schemeClr val="accent3"/>
            </a:solidFill>
            <a:ln>
              <a:noFill/>
            </a:ln>
            <a:effectLst/>
          </c:spPr>
          <c:invertIfNegative val="0"/>
          <c:cat>
            <c:strRef>
              <c:f>Sheet1!$A$2:$A$4</c:f>
              <c:strCache>
                <c:ptCount val="3"/>
                <c:pt idx="0">
                  <c:v>SB(SBV)</c:v>
                </c:pt>
                <c:pt idx="1">
                  <c:v>SD</c:v>
                </c:pt>
                <c:pt idx="2">
                  <c:v>DSP Display (Video)</c:v>
                </c:pt>
              </c:strCache>
            </c:strRef>
          </c:cat>
          <c:val>
            <c:numRef>
              <c:f>Sheet1!$D$2:$D$4</c:f>
              <c:numCache>
                <c:formatCode>0.0</c:formatCode>
                <c:ptCount val="3"/>
                <c:pt idx="0">
                  <c:v>8.9333333333333318</c:v>
                </c:pt>
                <c:pt idx="1">
                  <c:v>7.5333333333333341</c:v>
                </c:pt>
                <c:pt idx="2">
                  <c:v>4.166666666666667</c:v>
                </c:pt>
              </c:numCache>
            </c:numRef>
          </c:val>
          <c:extLst>
            <c:ext xmlns:c16="http://schemas.microsoft.com/office/drawing/2014/chart" uri="{C3380CC4-5D6E-409C-BE32-E72D297353CC}">
              <c16:uniqueId val="{00000002-5FFA-9045-8EB0-3A2F454F33BE}"/>
            </c:ext>
          </c:extLst>
        </c:ser>
        <c:dLbls>
          <c:showLegendKey val="0"/>
          <c:showVal val="0"/>
          <c:showCatName val="0"/>
          <c:showSerName val="0"/>
          <c:showPercent val="0"/>
          <c:showBubbleSize val="0"/>
        </c:dLbls>
        <c:gapWidth val="219"/>
        <c:overlap val="-27"/>
        <c:axId val="776431231"/>
        <c:axId val="776432879"/>
      </c:barChart>
      <c:catAx>
        <c:axId val="776431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6432879"/>
        <c:crosses val="autoZero"/>
        <c:auto val="1"/>
        <c:lblAlgn val="ctr"/>
        <c:lblOffset val="100"/>
        <c:noMultiLvlLbl val="0"/>
      </c:catAx>
      <c:valAx>
        <c:axId val="77643287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6431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Indexed Ad Efficacy on Revenue by Browse Node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Tools and Home Improvement </c:v>
                </c:pt>
              </c:strCache>
            </c:strRef>
          </c:tx>
          <c:spPr>
            <a:solidFill>
              <a:schemeClr val="accent1"/>
            </a:solidFill>
            <a:ln>
              <a:noFill/>
            </a:ln>
            <a:effectLst/>
          </c:spPr>
          <c:invertIfNegative val="0"/>
          <c:cat>
            <c:strRef>
              <c:f>Sheet1!$A$2:$A$4</c:f>
              <c:strCache>
                <c:ptCount val="3"/>
                <c:pt idx="0">
                  <c:v>SB(SBV)</c:v>
                </c:pt>
                <c:pt idx="1">
                  <c:v>SD</c:v>
                </c:pt>
                <c:pt idx="2">
                  <c:v>DSP Display (Video)</c:v>
                </c:pt>
              </c:strCache>
            </c:strRef>
          </c:cat>
          <c:val>
            <c:numRef>
              <c:f>Sheet1!$B$2:$B$4</c:f>
              <c:numCache>
                <c:formatCode>0.0</c:formatCode>
                <c:ptCount val="3"/>
                <c:pt idx="0">
                  <c:v>9.3000000000000007</c:v>
                </c:pt>
                <c:pt idx="1">
                  <c:v>2.5</c:v>
                </c:pt>
                <c:pt idx="2">
                  <c:v>2</c:v>
                </c:pt>
              </c:numCache>
            </c:numRef>
          </c:val>
          <c:extLst>
            <c:ext xmlns:c16="http://schemas.microsoft.com/office/drawing/2014/chart" uri="{C3380CC4-5D6E-409C-BE32-E72D297353CC}">
              <c16:uniqueId val="{00000000-1069-D94F-BFCA-B26B9A80CADF}"/>
            </c:ext>
          </c:extLst>
        </c:ser>
        <c:ser>
          <c:idx val="1"/>
          <c:order val="1"/>
          <c:tx>
            <c:strRef>
              <c:f>Sheet1!$C$1</c:f>
              <c:strCache>
                <c:ptCount val="1"/>
                <c:pt idx="0">
                  <c:v>Home and Kitchen </c:v>
                </c:pt>
              </c:strCache>
            </c:strRef>
          </c:tx>
          <c:spPr>
            <a:solidFill>
              <a:schemeClr val="accent2"/>
            </a:solidFill>
            <a:ln>
              <a:noFill/>
            </a:ln>
            <a:effectLst/>
          </c:spPr>
          <c:invertIfNegative val="0"/>
          <c:cat>
            <c:strRef>
              <c:f>Sheet1!$A$2:$A$4</c:f>
              <c:strCache>
                <c:ptCount val="3"/>
                <c:pt idx="0">
                  <c:v>SB(SBV)</c:v>
                </c:pt>
                <c:pt idx="1">
                  <c:v>SD</c:v>
                </c:pt>
                <c:pt idx="2">
                  <c:v>DSP Display (Video)</c:v>
                </c:pt>
              </c:strCache>
            </c:strRef>
          </c:cat>
          <c:val>
            <c:numRef>
              <c:f>Sheet1!$C$2:$C$4</c:f>
              <c:numCache>
                <c:formatCode>0.0</c:formatCode>
                <c:ptCount val="3"/>
                <c:pt idx="0">
                  <c:v>7.5</c:v>
                </c:pt>
                <c:pt idx="1">
                  <c:v>3.8</c:v>
                </c:pt>
                <c:pt idx="2">
                  <c:v>3.9333333333333336</c:v>
                </c:pt>
              </c:numCache>
            </c:numRef>
          </c:val>
          <c:extLst>
            <c:ext xmlns:c16="http://schemas.microsoft.com/office/drawing/2014/chart" uri="{C3380CC4-5D6E-409C-BE32-E72D297353CC}">
              <c16:uniqueId val="{00000001-1069-D94F-BFCA-B26B9A80CADF}"/>
            </c:ext>
          </c:extLst>
        </c:ser>
        <c:ser>
          <c:idx val="2"/>
          <c:order val="2"/>
          <c:tx>
            <c:strRef>
              <c:f>Sheet1!$D$1</c:f>
              <c:strCache>
                <c:ptCount val="1"/>
                <c:pt idx="0">
                  <c:v>Electronics </c:v>
                </c:pt>
              </c:strCache>
            </c:strRef>
          </c:tx>
          <c:spPr>
            <a:solidFill>
              <a:schemeClr val="accent3"/>
            </a:solidFill>
            <a:ln>
              <a:noFill/>
            </a:ln>
            <a:effectLst/>
          </c:spPr>
          <c:invertIfNegative val="0"/>
          <c:cat>
            <c:strRef>
              <c:f>Sheet1!$A$2:$A$4</c:f>
              <c:strCache>
                <c:ptCount val="3"/>
                <c:pt idx="0">
                  <c:v>SB(SBV)</c:v>
                </c:pt>
                <c:pt idx="1">
                  <c:v>SD</c:v>
                </c:pt>
                <c:pt idx="2">
                  <c:v>DSP Display (Video)</c:v>
                </c:pt>
              </c:strCache>
            </c:strRef>
          </c:cat>
          <c:val>
            <c:numRef>
              <c:f>Sheet1!$D$2:$D$4</c:f>
              <c:numCache>
                <c:formatCode>0.0</c:formatCode>
                <c:ptCount val="3"/>
                <c:pt idx="0">
                  <c:v>10</c:v>
                </c:pt>
                <c:pt idx="1">
                  <c:v>5.5333333333333341</c:v>
                </c:pt>
                <c:pt idx="2">
                  <c:v>0.93333333333333346</c:v>
                </c:pt>
              </c:numCache>
            </c:numRef>
          </c:val>
          <c:extLst>
            <c:ext xmlns:c16="http://schemas.microsoft.com/office/drawing/2014/chart" uri="{C3380CC4-5D6E-409C-BE32-E72D297353CC}">
              <c16:uniqueId val="{00000002-1069-D94F-BFCA-B26B9A80CADF}"/>
            </c:ext>
          </c:extLst>
        </c:ser>
        <c:dLbls>
          <c:showLegendKey val="0"/>
          <c:showVal val="0"/>
          <c:showCatName val="0"/>
          <c:showSerName val="0"/>
          <c:showPercent val="0"/>
          <c:showBubbleSize val="0"/>
        </c:dLbls>
        <c:gapWidth val="219"/>
        <c:overlap val="-27"/>
        <c:axId val="776431231"/>
        <c:axId val="776432879"/>
      </c:barChart>
      <c:catAx>
        <c:axId val="776431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6432879"/>
        <c:crosses val="autoZero"/>
        <c:auto val="1"/>
        <c:lblAlgn val="ctr"/>
        <c:lblOffset val="100"/>
        <c:noMultiLvlLbl val="0"/>
      </c:catAx>
      <c:valAx>
        <c:axId val="776432879"/>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6431231"/>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9F72-F346-BD2D-DF502115B82D}"/>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2-9F72-F346-BD2D-DF502115B82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Amazon Ember Display" panose="020F0603020204020204" pitchFamily="34"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Tools &amp; Home Improvement</c:v>
                </c:pt>
                <c:pt idx="1">
                  <c:v>Home and Kitchen</c:v>
                </c:pt>
                <c:pt idx="2">
                  <c:v>Electronics</c:v>
                </c:pt>
              </c:strCache>
            </c:strRef>
          </c:cat>
          <c:val>
            <c:numRef>
              <c:f>Sheet1!$B$2:$B$4</c:f>
              <c:numCache>
                <c:formatCode>0%</c:formatCode>
                <c:ptCount val="3"/>
                <c:pt idx="0">
                  <c:v>0.1</c:v>
                </c:pt>
                <c:pt idx="1">
                  <c:v>0.06</c:v>
                </c:pt>
                <c:pt idx="2">
                  <c:v>0.08</c:v>
                </c:pt>
              </c:numCache>
            </c:numRef>
          </c:val>
          <c:extLst>
            <c:ext xmlns:c16="http://schemas.microsoft.com/office/drawing/2014/chart" uri="{C3380CC4-5D6E-409C-BE32-E72D297353CC}">
              <c16:uniqueId val="{00000000-8EE2-1444-8816-C6DAFBC970A1}"/>
            </c:ext>
          </c:extLst>
        </c:ser>
        <c:dLbls>
          <c:dLblPos val="outEnd"/>
          <c:showLegendKey val="0"/>
          <c:showVal val="1"/>
          <c:showCatName val="0"/>
          <c:showSerName val="0"/>
          <c:showPercent val="0"/>
          <c:showBubbleSize val="0"/>
        </c:dLbls>
        <c:gapWidth val="219"/>
        <c:overlap val="-27"/>
        <c:axId val="1197924447"/>
        <c:axId val="1204058847"/>
      </c:barChart>
      <c:catAx>
        <c:axId val="119792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Amazon Ember Display" panose="020F0603020204020204" pitchFamily="34" charset="0"/>
                <a:cs typeface="Times New Roman" panose="02020603050405020304" pitchFamily="18" charset="0"/>
              </a:defRPr>
            </a:pPr>
            <a:endParaRPr lang="en-US"/>
          </a:p>
        </c:txPr>
        <c:crossAx val="1204058847"/>
        <c:crosses val="autoZero"/>
        <c:auto val="1"/>
        <c:lblAlgn val="ctr"/>
        <c:lblOffset val="100"/>
        <c:noMultiLvlLbl val="0"/>
      </c:catAx>
      <c:valAx>
        <c:axId val="1204058847"/>
        <c:scaling>
          <c:orientation val="minMax"/>
        </c:scaling>
        <c:delete val="1"/>
        <c:axPos val="l"/>
        <c:numFmt formatCode="0%" sourceLinked="1"/>
        <c:majorTickMark val="none"/>
        <c:minorTickMark val="none"/>
        <c:tickLblPos val="nextTo"/>
        <c:crossAx val="119792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CF55-B8A4-4521-A738-65EAEE7D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Pauwels, Koen</cp:lastModifiedBy>
  <cp:revision>2</cp:revision>
  <dcterms:created xsi:type="dcterms:W3CDTF">2023-12-10T21:22:00Z</dcterms:created>
  <dcterms:modified xsi:type="dcterms:W3CDTF">2023-12-10T21:22:00Z</dcterms:modified>
</cp:coreProperties>
</file>